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eastAsia="方正小标宋简体"/>
          <w:color w:val="auto"/>
          <w:sz w:val="36"/>
          <w:szCs w:val="36"/>
        </w:rPr>
      </w:pPr>
    </w:p>
    <w:p>
      <w:pPr>
        <w:snapToGrid w:val="0"/>
        <w:jc w:val="left"/>
        <w:rPr>
          <w:rFonts w:hint="eastAsia" w:eastAsia="方正小标宋简体"/>
          <w:color w:val="auto"/>
          <w:sz w:val="36"/>
          <w:szCs w:val="36"/>
        </w:rPr>
      </w:pPr>
    </w:p>
    <w:p>
      <w:pPr>
        <w:snapToGrid w:val="0"/>
        <w:jc w:val="left"/>
        <w:rPr>
          <w:rFonts w:hint="eastAsia" w:eastAsia="方正小标宋简体"/>
          <w:color w:val="auto"/>
          <w:sz w:val="36"/>
          <w:szCs w:val="36"/>
        </w:rPr>
      </w:pPr>
    </w:p>
    <w:p>
      <w:pPr>
        <w:snapToGrid w:val="0"/>
        <w:jc w:val="left"/>
        <w:rPr>
          <w:rFonts w:hint="eastAsia" w:eastAsia="方正小标宋简体"/>
          <w:color w:val="auto"/>
          <w:sz w:val="36"/>
          <w:szCs w:val="36"/>
        </w:rPr>
      </w:pPr>
    </w:p>
    <w:p>
      <w:pPr>
        <w:snapToGrid w:val="0"/>
        <w:jc w:val="left"/>
        <w:rPr>
          <w:rFonts w:hint="eastAsia" w:eastAsia="方正小标宋简体"/>
          <w:color w:val="auto"/>
          <w:sz w:val="36"/>
          <w:szCs w:val="36"/>
        </w:rPr>
      </w:pPr>
    </w:p>
    <w:p>
      <w:pPr>
        <w:snapToGrid w:val="0"/>
        <w:jc w:val="center"/>
        <w:rPr>
          <w:rFonts w:hint="eastAsia" w:eastAsia="方正小标宋简体"/>
          <w:color w:val="auto"/>
          <w:sz w:val="56"/>
          <w:szCs w:val="56"/>
        </w:rPr>
      </w:pPr>
      <w:r>
        <w:rPr>
          <w:rFonts w:hint="eastAsia" w:eastAsia="方正小标宋简体"/>
          <w:color w:val="auto"/>
          <w:sz w:val="56"/>
          <w:szCs w:val="56"/>
        </w:rPr>
        <w:t>辉县市第一职业中等专业学校</w:t>
      </w:r>
    </w:p>
    <w:p>
      <w:pPr>
        <w:snapToGrid w:val="0"/>
        <w:jc w:val="center"/>
        <w:rPr>
          <w:rFonts w:hint="eastAsia" w:eastAsia="方正小标宋简体"/>
          <w:color w:val="auto"/>
          <w:sz w:val="56"/>
          <w:szCs w:val="56"/>
        </w:rPr>
      </w:pPr>
      <w:r>
        <w:rPr>
          <w:rFonts w:hint="eastAsia" w:eastAsia="方正小标宋简体"/>
          <w:color w:val="auto"/>
          <w:sz w:val="56"/>
          <w:szCs w:val="56"/>
        </w:rPr>
        <w:t>质量年度报告（20</w:t>
      </w:r>
      <w:r>
        <w:rPr>
          <w:rFonts w:hint="eastAsia" w:eastAsia="方正小标宋简体"/>
          <w:color w:val="auto"/>
          <w:sz w:val="56"/>
          <w:szCs w:val="56"/>
          <w:lang w:val="en-US" w:eastAsia="zh-CN"/>
        </w:rPr>
        <w:t>22</w:t>
      </w:r>
      <w:r>
        <w:rPr>
          <w:rFonts w:hint="eastAsia" w:eastAsia="方正小标宋简体"/>
          <w:color w:val="auto"/>
          <w:sz w:val="56"/>
          <w:szCs w:val="56"/>
        </w:rPr>
        <w:t>年）</w:t>
      </w:r>
    </w:p>
    <w:p>
      <w:pPr>
        <w:snapToGrid w:val="0"/>
        <w:jc w:val="center"/>
        <w:rPr>
          <w:rFonts w:hint="eastAsia" w:eastAsia="方正小标宋简体"/>
          <w:color w:val="auto"/>
          <w:sz w:val="36"/>
          <w:szCs w:val="36"/>
        </w:rPr>
      </w:pPr>
    </w:p>
    <w:p>
      <w:pPr>
        <w:snapToGrid w:val="0"/>
        <w:jc w:val="center"/>
        <w:rPr>
          <w:rFonts w:hint="eastAsia" w:eastAsia="方正小标宋简体"/>
          <w:color w:val="auto"/>
          <w:sz w:val="36"/>
          <w:szCs w:val="36"/>
        </w:rPr>
      </w:pPr>
    </w:p>
    <w:p>
      <w:pPr>
        <w:snapToGrid w:val="0"/>
        <w:jc w:val="center"/>
        <w:rPr>
          <w:rFonts w:hint="eastAsia" w:eastAsia="方正小标宋简体"/>
          <w:color w:val="auto"/>
          <w:sz w:val="36"/>
          <w:szCs w:val="36"/>
        </w:rPr>
      </w:pPr>
    </w:p>
    <w:p>
      <w:pPr>
        <w:snapToGrid w:val="0"/>
        <w:jc w:val="center"/>
        <w:rPr>
          <w:rFonts w:hint="eastAsia" w:eastAsia="方正小标宋简体"/>
          <w:color w:val="auto"/>
          <w:sz w:val="36"/>
          <w:szCs w:val="36"/>
        </w:rPr>
      </w:pPr>
    </w:p>
    <w:p>
      <w:pPr>
        <w:snapToGrid w:val="0"/>
        <w:jc w:val="center"/>
        <w:rPr>
          <w:rFonts w:hint="eastAsia" w:eastAsia="方正小标宋简体"/>
          <w:color w:val="auto"/>
          <w:sz w:val="36"/>
          <w:szCs w:val="36"/>
        </w:rPr>
      </w:pPr>
    </w:p>
    <w:p>
      <w:pPr>
        <w:snapToGrid w:val="0"/>
        <w:jc w:val="center"/>
        <w:rPr>
          <w:rFonts w:hint="eastAsia" w:eastAsia="方正小标宋简体"/>
          <w:color w:val="auto"/>
          <w:sz w:val="36"/>
          <w:szCs w:val="36"/>
        </w:rPr>
      </w:pPr>
    </w:p>
    <w:p>
      <w:pPr>
        <w:snapToGrid w:val="0"/>
        <w:jc w:val="center"/>
        <w:rPr>
          <w:rFonts w:hint="eastAsia" w:eastAsia="方正小标宋简体"/>
          <w:color w:val="auto"/>
          <w:sz w:val="36"/>
          <w:szCs w:val="36"/>
        </w:rPr>
      </w:pPr>
    </w:p>
    <w:p>
      <w:pPr>
        <w:snapToGrid w:val="0"/>
        <w:jc w:val="center"/>
        <w:rPr>
          <w:rFonts w:hint="eastAsia" w:eastAsia="方正小标宋简体"/>
          <w:color w:val="auto"/>
          <w:sz w:val="36"/>
          <w:szCs w:val="36"/>
        </w:rPr>
      </w:pPr>
    </w:p>
    <w:p>
      <w:pPr>
        <w:snapToGrid w:val="0"/>
        <w:jc w:val="center"/>
        <w:rPr>
          <w:rFonts w:hint="eastAsia" w:eastAsia="方正小标宋简体"/>
          <w:color w:val="auto"/>
          <w:sz w:val="36"/>
          <w:szCs w:val="36"/>
        </w:rPr>
      </w:pPr>
    </w:p>
    <w:p>
      <w:pPr>
        <w:snapToGrid w:val="0"/>
        <w:jc w:val="center"/>
        <w:rPr>
          <w:rFonts w:hint="eastAsia" w:eastAsia="方正小标宋简体"/>
          <w:color w:val="auto"/>
          <w:sz w:val="36"/>
          <w:szCs w:val="36"/>
        </w:rPr>
      </w:pPr>
    </w:p>
    <w:p>
      <w:pPr>
        <w:snapToGrid w:val="0"/>
        <w:jc w:val="center"/>
        <w:rPr>
          <w:rFonts w:hint="eastAsia" w:eastAsia="方正小标宋简体"/>
          <w:color w:val="auto"/>
          <w:sz w:val="36"/>
          <w:szCs w:val="36"/>
        </w:rPr>
      </w:pPr>
    </w:p>
    <w:p>
      <w:pPr>
        <w:snapToGrid w:val="0"/>
        <w:jc w:val="center"/>
        <w:rPr>
          <w:rFonts w:hint="eastAsia" w:eastAsia="方正小标宋简体"/>
          <w:color w:val="auto"/>
          <w:sz w:val="36"/>
          <w:szCs w:val="36"/>
        </w:rPr>
      </w:pPr>
    </w:p>
    <w:p>
      <w:pPr>
        <w:snapToGrid w:val="0"/>
        <w:jc w:val="center"/>
        <w:rPr>
          <w:rFonts w:hint="eastAsia" w:eastAsia="方正小标宋简体"/>
          <w:color w:val="auto"/>
          <w:sz w:val="36"/>
          <w:szCs w:val="36"/>
        </w:rPr>
      </w:pPr>
    </w:p>
    <w:p>
      <w:pPr>
        <w:snapToGrid w:val="0"/>
        <w:jc w:val="center"/>
        <w:rPr>
          <w:rFonts w:hint="eastAsia" w:eastAsia="方正小标宋简体"/>
          <w:color w:val="auto"/>
          <w:sz w:val="36"/>
          <w:szCs w:val="36"/>
        </w:rPr>
      </w:pPr>
    </w:p>
    <w:p>
      <w:pPr>
        <w:snapToGrid w:val="0"/>
        <w:jc w:val="center"/>
        <w:rPr>
          <w:rFonts w:hint="eastAsia" w:eastAsia="方正小标宋简体"/>
          <w:color w:val="auto"/>
          <w:sz w:val="36"/>
          <w:szCs w:val="36"/>
        </w:rPr>
      </w:pPr>
    </w:p>
    <w:p>
      <w:pPr>
        <w:snapToGrid w:val="0"/>
        <w:jc w:val="center"/>
        <w:rPr>
          <w:rFonts w:hint="eastAsia" w:eastAsia="方正小标宋简体"/>
          <w:color w:val="auto"/>
          <w:sz w:val="36"/>
          <w:szCs w:val="36"/>
        </w:rPr>
      </w:pPr>
    </w:p>
    <w:p>
      <w:pPr>
        <w:snapToGrid w:val="0"/>
        <w:jc w:val="center"/>
        <w:rPr>
          <w:rFonts w:hint="eastAsia" w:eastAsia="方正小标宋简体"/>
          <w:color w:val="auto"/>
          <w:sz w:val="36"/>
          <w:szCs w:val="36"/>
        </w:rPr>
      </w:pPr>
    </w:p>
    <w:p>
      <w:pPr>
        <w:snapToGrid w:val="0"/>
        <w:jc w:val="center"/>
        <w:rPr>
          <w:rFonts w:hint="eastAsia" w:eastAsia="方正小标宋简体"/>
          <w:color w:val="auto"/>
          <w:sz w:val="36"/>
          <w:szCs w:val="36"/>
        </w:rPr>
      </w:pPr>
    </w:p>
    <w:p>
      <w:pPr>
        <w:snapToGrid w:val="0"/>
        <w:jc w:val="center"/>
        <w:rPr>
          <w:rFonts w:hint="eastAsia" w:eastAsia="方正小标宋简体"/>
          <w:color w:val="auto"/>
          <w:sz w:val="36"/>
          <w:szCs w:val="36"/>
        </w:rPr>
      </w:pPr>
    </w:p>
    <w:p>
      <w:pPr>
        <w:snapToGrid w:val="0"/>
        <w:jc w:val="center"/>
        <w:rPr>
          <w:rFonts w:hint="eastAsia" w:eastAsia="方正小标宋简体"/>
          <w:color w:val="auto"/>
          <w:sz w:val="36"/>
          <w:szCs w:val="36"/>
        </w:rPr>
      </w:pPr>
      <w:r>
        <w:rPr>
          <w:rFonts w:hint="eastAsia" w:eastAsia="方正小标宋简体"/>
          <w:color w:val="auto"/>
          <w:sz w:val="36"/>
          <w:szCs w:val="36"/>
        </w:rPr>
        <w:t>辉县市第一职业中等专业学校</w:t>
      </w:r>
    </w:p>
    <w:p>
      <w:pPr>
        <w:snapToGrid w:val="0"/>
        <w:jc w:val="center"/>
        <w:outlineLvl w:val="0"/>
        <w:rPr>
          <w:rFonts w:hint="eastAsia" w:eastAsia="方正小标宋简体"/>
          <w:color w:val="auto"/>
          <w:sz w:val="36"/>
          <w:szCs w:val="36"/>
        </w:rPr>
        <w:sectPr>
          <w:pgSz w:w="11906" w:h="16838"/>
          <w:pgMar w:top="1043" w:right="1689" w:bottom="1043" w:left="1689" w:header="851" w:footer="992" w:gutter="0"/>
          <w:pgNumType w:fmt="upperRoman"/>
          <w:cols w:space="720" w:num="1"/>
          <w:docGrid w:type="lines" w:linePitch="312" w:charSpace="0"/>
        </w:sectPr>
      </w:pPr>
      <w:bookmarkStart w:id="0" w:name="_Toc2855"/>
      <w:r>
        <w:rPr>
          <w:rFonts w:hint="eastAsia" w:eastAsia="方正小标宋简体"/>
          <w:color w:val="auto"/>
          <w:sz w:val="36"/>
          <w:szCs w:val="36"/>
        </w:rPr>
        <w:t>二〇二</w:t>
      </w:r>
      <w:r>
        <w:rPr>
          <w:rFonts w:hint="eastAsia" w:eastAsia="方正小标宋简体"/>
          <w:color w:val="auto"/>
          <w:sz w:val="36"/>
          <w:szCs w:val="36"/>
          <w:lang w:val="en-US" w:eastAsia="zh-CN"/>
        </w:rPr>
        <w:t>一</w:t>
      </w:r>
      <w:r>
        <w:rPr>
          <w:rFonts w:hint="eastAsia" w:eastAsia="方正小标宋简体"/>
          <w:color w:val="auto"/>
          <w:sz w:val="36"/>
          <w:szCs w:val="36"/>
        </w:rPr>
        <w:t>年</w:t>
      </w:r>
      <w:r>
        <w:rPr>
          <w:rFonts w:hint="eastAsia" w:eastAsia="方正小标宋简体"/>
          <w:color w:val="auto"/>
          <w:sz w:val="36"/>
          <w:szCs w:val="36"/>
          <w:lang w:val="en-US" w:eastAsia="zh-CN"/>
        </w:rPr>
        <w:t>十</w:t>
      </w:r>
      <w:r>
        <w:rPr>
          <w:rFonts w:hint="eastAsia" w:eastAsia="方正小标宋简体"/>
          <w:color w:val="auto"/>
          <w:sz w:val="36"/>
          <w:szCs w:val="36"/>
        </w:rPr>
        <w:t>一月</w:t>
      </w:r>
      <w:bookmarkEnd w:id="0"/>
    </w:p>
    <w:p>
      <w:pPr>
        <w:snapToGrid w:val="0"/>
        <w:jc w:val="center"/>
        <w:rPr>
          <w:rFonts w:hint="eastAsia" w:ascii="方正小标宋简体" w:hAnsi="方正小标宋简体" w:eastAsia="方正小标宋简体" w:cs="方正小标宋简体"/>
          <w:bCs/>
          <w:color w:val="auto"/>
          <w:sz w:val="44"/>
          <w:szCs w:val="44"/>
          <w:lang w:eastAsia="zh-CN"/>
        </w:rPr>
        <w:sectPr>
          <w:footerReference r:id="rId3" w:type="default"/>
          <w:pgSz w:w="11906" w:h="16838"/>
          <w:pgMar w:top="1043" w:right="1689" w:bottom="1043" w:left="1689" w:header="851" w:footer="992" w:gutter="0"/>
          <w:pgNumType w:fmt="upperRoman" w:start="1"/>
          <w:cols w:space="720" w:num="1"/>
          <w:docGrid w:type="lines" w:linePitch="312" w:charSpace="0"/>
        </w:sectPr>
      </w:pPr>
      <w:r>
        <w:rPr>
          <w:rFonts w:hint="eastAsia" w:ascii="方正小标宋简体" w:hAnsi="方正小标宋简体" w:eastAsia="方正小标宋简体" w:cs="方正小标宋简体"/>
          <w:bCs/>
          <w:color w:val="auto"/>
          <w:sz w:val="44"/>
          <w:szCs w:val="44"/>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414010" cy="7720965"/>
            <wp:effectExtent l="0" t="0" r="15240" b="13335"/>
            <wp:wrapSquare wrapText="bothSides"/>
            <wp:docPr id="5" name="图片 5" descr="内容真实性责任声明扫描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内容真实性责任声明扫描件1"/>
                    <pic:cNvPicPr>
                      <a:picLocks noChangeAspect="1"/>
                    </pic:cNvPicPr>
                  </pic:nvPicPr>
                  <pic:blipFill>
                    <a:blip r:embed="rId7"/>
                    <a:stretch>
                      <a:fillRect/>
                    </a:stretch>
                  </pic:blipFill>
                  <pic:spPr>
                    <a:xfrm>
                      <a:off x="0" y="0"/>
                      <a:ext cx="5414010" cy="7720965"/>
                    </a:xfrm>
                    <a:prstGeom prst="rect">
                      <a:avLst/>
                    </a:prstGeom>
                  </pic:spPr>
                </pic:pic>
              </a:graphicData>
            </a:graphic>
          </wp:anchor>
        </w:drawing>
      </w:r>
    </w:p>
    <w:p>
      <w:pPr>
        <w:snapToGrid w:val="0"/>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目 录</w:t>
      </w:r>
    </w:p>
    <w:p>
      <w:pPr>
        <w:pStyle w:val="8"/>
        <w:tabs>
          <w:tab w:val="right" w:leader="dot" w:pos="8528"/>
        </w:tabs>
      </w:pPr>
      <w:r>
        <w:rPr>
          <w:rFonts w:hint="eastAsia" w:ascii="仿宋" w:hAnsi="仿宋" w:eastAsia="仿宋"/>
          <w:color w:val="auto"/>
          <w:sz w:val="36"/>
          <w:szCs w:val="36"/>
        </w:rPr>
        <w:fldChar w:fldCharType="begin"/>
      </w:r>
      <w:r>
        <w:rPr>
          <w:rFonts w:hint="eastAsia" w:ascii="仿宋" w:hAnsi="仿宋" w:eastAsia="仿宋"/>
          <w:color w:val="auto"/>
          <w:sz w:val="36"/>
          <w:szCs w:val="36"/>
        </w:rPr>
        <w:instrText xml:space="preserve">TOC \o "1-2" \t "样式3,3" \h</w:instrText>
      </w:r>
      <w:r>
        <w:rPr>
          <w:rFonts w:hint="eastAsia" w:ascii="仿宋" w:hAnsi="仿宋" w:eastAsia="仿宋"/>
          <w:color w:val="auto"/>
          <w:sz w:val="36"/>
          <w:szCs w:val="36"/>
        </w:rPr>
        <w:fldChar w:fldCharType="separate"/>
      </w:r>
      <w:r>
        <w:rPr>
          <w:rFonts w:hint="eastAsia" w:ascii="仿宋" w:hAnsi="仿宋" w:eastAsia="仿宋"/>
          <w:color w:val="auto"/>
          <w:szCs w:val="36"/>
        </w:rPr>
        <w:fldChar w:fldCharType="begin"/>
      </w:r>
      <w:r>
        <w:rPr>
          <w:rFonts w:hint="eastAsia" w:ascii="仿宋" w:hAnsi="仿宋" w:eastAsia="仿宋"/>
          <w:szCs w:val="36"/>
        </w:rPr>
        <w:instrText xml:space="preserve"> HYPERLINK \l _Toc27106 </w:instrText>
      </w:r>
      <w:r>
        <w:rPr>
          <w:rFonts w:hint="eastAsia" w:ascii="仿宋" w:hAnsi="仿宋" w:eastAsia="仿宋"/>
          <w:szCs w:val="36"/>
        </w:rPr>
        <w:fldChar w:fldCharType="separate"/>
      </w:r>
      <w:r>
        <w:rPr>
          <w:rFonts w:hint="eastAsia"/>
        </w:rPr>
        <w:t>1.学校情况</w:t>
      </w:r>
      <w:r>
        <w:tab/>
      </w:r>
      <w:r>
        <w:fldChar w:fldCharType="begin"/>
      </w:r>
      <w:r>
        <w:instrText xml:space="preserve"> PAGEREF _Toc27106 \h </w:instrText>
      </w:r>
      <w:r>
        <w:fldChar w:fldCharType="separate"/>
      </w:r>
      <w:r>
        <w:t>- 1 -</w:t>
      </w:r>
      <w:r>
        <w:fldChar w:fldCharType="end"/>
      </w:r>
      <w:r>
        <w:rPr>
          <w:rFonts w:hint="eastAsia" w:ascii="仿宋" w:hAnsi="仿宋" w:eastAsia="仿宋"/>
          <w:color w:val="auto"/>
          <w:szCs w:val="36"/>
        </w:rPr>
        <w:fldChar w:fldCharType="end"/>
      </w:r>
    </w:p>
    <w:p>
      <w:pPr>
        <w:pStyle w:val="9"/>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_Toc1405 </w:instrText>
      </w:r>
      <w:r>
        <w:rPr>
          <w:rFonts w:hint="eastAsia" w:ascii="仿宋" w:hAnsi="仿宋" w:eastAsia="仿宋"/>
          <w:szCs w:val="36"/>
        </w:rPr>
        <w:fldChar w:fldCharType="separate"/>
      </w:r>
      <w:r>
        <w:rPr>
          <w:rFonts w:hint="eastAsia"/>
        </w:rPr>
        <w:t>1.1学校概况</w:t>
      </w:r>
      <w:r>
        <w:tab/>
      </w:r>
      <w:r>
        <w:fldChar w:fldCharType="begin"/>
      </w:r>
      <w:r>
        <w:instrText xml:space="preserve"> PAGEREF _Toc1405 \h </w:instrText>
      </w:r>
      <w:r>
        <w:fldChar w:fldCharType="separate"/>
      </w:r>
      <w:r>
        <w:t>- 1 -</w:t>
      </w:r>
      <w:r>
        <w:fldChar w:fldCharType="end"/>
      </w:r>
      <w:r>
        <w:rPr>
          <w:rFonts w:hint="eastAsia" w:ascii="仿宋" w:hAnsi="仿宋" w:eastAsia="仿宋"/>
          <w:color w:val="auto"/>
          <w:szCs w:val="36"/>
        </w:rPr>
        <w:fldChar w:fldCharType="end"/>
      </w:r>
    </w:p>
    <w:p>
      <w:pPr>
        <w:pStyle w:val="9"/>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_Toc7653 </w:instrText>
      </w:r>
      <w:r>
        <w:rPr>
          <w:rFonts w:hint="eastAsia" w:ascii="仿宋" w:hAnsi="仿宋" w:eastAsia="仿宋"/>
          <w:szCs w:val="36"/>
        </w:rPr>
        <w:fldChar w:fldCharType="separate"/>
      </w:r>
      <w:r>
        <w:rPr>
          <w:rFonts w:hint="eastAsia"/>
        </w:rPr>
        <w:t>1.2 学生情况</w:t>
      </w:r>
      <w:r>
        <w:tab/>
      </w:r>
      <w:r>
        <w:fldChar w:fldCharType="begin"/>
      </w:r>
      <w:r>
        <w:instrText xml:space="preserve"> PAGEREF _Toc7653 \h </w:instrText>
      </w:r>
      <w:r>
        <w:fldChar w:fldCharType="separate"/>
      </w:r>
      <w:r>
        <w:t>- 3 -</w:t>
      </w:r>
      <w:r>
        <w:fldChar w:fldCharType="end"/>
      </w:r>
      <w:r>
        <w:rPr>
          <w:rFonts w:hint="eastAsia" w:ascii="仿宋" w:hAnsi="仿宋" w:eastAsia="仿宋"/>
          <w:color w:val="auto"/>
          <w:szCs w:val="36"/>
        </w:rPr>
        <w:fldChar w:fldCharType="end"/>
      </w:r>
    </w:p>
    <w:p>
      <w:pPr>
        <w:pStyle w:val="9"/>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_Toc6707 </w:instrText>
      </w:r>
      <w:r>
        <w:rPr>
          <w:rFonts w:hint="eastAsia" w:ascii="仿宋" w:hAnsi="仿宋" w:eastAsia="仿宋"/>
          <w:szCs w:val="36"/>
        </w:rPr>
        <w:fldChar w:fldCharType="separate"/>
      </w:r>
      <w:r>
        <w:rPr>
          <w:rFonts w:hint="eastAsia"/>
        </w:rPr>
        <w:t>1.3教师队伍</w:t>
      </w:r>
      <w:r>
        <w:tab/>
      </w:r>
      <w:r>
        <w:fldChar w:fldCharType="begin"/>
      </w:r>
      <w:r>
        <w:instrText xml:space="preserve"> PAGEREF _Toc6707 \h </w:instrText>
      </w:r>
      <w:r>
        <w:fldChar w:fldCharType="separate"/>
      </w:r>
      <w:r>
        <w:t>- 3 -</w:t>
      </w:r>
      <w:r>
        <w:fldChar w:fldCharType="end"/>
      </w:r>
      <w:r>
        <w:rPr>
          <w:rFonts w:hint="eastAsia" w:ascii="仿宋" w:hAnsi="仿宋" w:eastAsia="仿宋"/>
          <w:color w:val="auto"/>
          <w:szCs w:val="36"/>
        </w:rPr>
        <w:fldChar w:fldCharType="end"/>
      </w:r>
    </w:p>
    <w:p>
      <w:pPr>
        <w:pStyle w:val="9"/>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_Toc32546 </w:instrText>
      </w:r>
      <w:r>
        <w:rPr>
          <w:rFonts w:hint="eastAsia" w:ascii="仿宋" w:hAnsi="仿宋" w:eastAsia="仿宋"/>
          <w:szCs w:val="36"/>
        </w:rPr>
        <w:fldChar w:fldCharType="separate"/>
      </w:r>
      <w:r>
        <w:rPr>
          <w:rFonts w:hint="eastAsia"/>
        </w:rPr>
        <w:t>1.4设施设备</w:t>
      </w:r>
      <w:r>
        <w:tab/>
      </w:r>
      <w:r>
        <w:fldChar w:fldCharType="begin"/>
      </w:r>
      <w:r>
        <w:instrText xml:space="preserve"> PAGEREF _Toc32546 \h </w:instrText>
      </w:r>
      <w:r>
        <w:fldChar w:fldCharType="separate"/>
      </w:r>
      <w:r>
        <w:t>- 4 -</w:t>
      </w:r>
      <w:r>
        <w:fldChar w:fldCharType="end"/>
      </w:r>
      <w:r>
        <w:rPr>
          <w:rFonts w:hint="eastAsia" w:ascii="仿宋" w:hAnsi="仿宋" w:eastAsia="仿宋"/>
          <w:color w:val="auto"/>
          <w:szCs w:val="36"/>
        </w:rPr>
        <w:fldChar w:fldCharType="end"/>
      </w:r>
    </w:p>
    <w:p>
      <w:pPr>
        <w:pStyle w:val="8"/>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_Toc893 </w:instrText>
      </w:r>
      <w:r>
        <w:rPr>
          <w:rFonts w:hint="eastAsia" w:ascii="仿宋" w:hAnsi="仿宋" w:eastAsia="仿宋"/>
          <w:szCs w:val="36"/>
        </w:rPr>
        <w:fldChar w:fldCharType="separate"/>
      </w:r>
      <w:r>
        <w:rPr>
          <w:rFonts w:hint="eastAsia"/>
          <w:lang w:val="en-US" w:eastAsia="zh-CN"/>
        </w:rPr>
        <w:t>2.</w:t>
      </w:r>
      <w:r>
        <w:rPr>
          <w:rFonts w:hint="eastAsia"/>
        </w:rPr>
        <w:t>学生发展</w:t>
      </w:r>
      <w:r>
        <w:tab/>
      </w:r>
      <w:r>
        <w:fldChar w:fldCharType="begin"/>
      </w:r>
      <w:r>
        <w:instrText xml:space="preserve"> PAGEREF _Toc893 \h </w:instrText>
      </w:r>
      <w:r>
        <w:fldChar w:fldCharType="separate"/>
      </w:r>
      <w:r>
        <w:t>- 4 -</w:t>
      </w:r>
      <w:r>
        <w:fldChar w:fldCharType="end"/>
      </w:r>
      <w:r>
        <w:rPr>
          <w:rFonts w:hint="eastAsia" w:ascii="仿宋" w:hAnsi="仿宋" w:eastAsia="仿宋"/>
          <w:color w:val="auto"/>
          <w:szCs w:val="36"/>
        </w:rPr>
        <w:fldChar w:fldCharType="end"/>
      </w:r>
    </w:p>
    <w:p>
      <w:pPr>
        <w:pStyle w:val="9"/>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_Toc23273 </w:instrText>
      </w:r>
      <w:r>
        <w:rPr>
          <w:rFonts w:hint="eastAsia" w:ascii="仿宋" w:hAnsi="仿宋" w:eastAsia="仿宋"/>
          <w:szCs w:val="36"/>
        </w:rPr>
        <w:fldChar w:fldCharType="separate"/>
      </w:r>
      <w:r>
        <w:rPr>
          <w:rFonts w:hint="eastAsia"/>
        </w:rPr>
        <w:t>2.1学生素质</w:t>
      </w:r>
      <w:r>
        <w:tab/>
      </w:r>
      <w:r>
        <w:fldChar w:fldCharType="begin"/>
      </w:r>
      <w:r>
        <w:instrText xml:space="preserve"> PAGEREF _Toc23273 \h </w:instrText>
      </w:r>
      <w:r>
        <w:fldChar w:fldCharType="separate"/>
      </w:r>
      <w:r>
        <w:t>- 4 -</w:t>
      </w:r>
      <w:r>
        <w:fldChar w:fldCharType="end"/>
      </w:r>
      <w:r>
        <w:rPr>
          <w:rFonts w:hint="eastAsia" w:ascii="仿宋" w:hAnsi="仿宋" w:eastAsia="仿宋"/>
          <w:color w:val="auto"/>
          <w:szCs w:val="36"/>
        </w:rPr>
        <w:fldChar w:fldCharType="end"/>
      </w:r>
    </w:p>
    <w:p>
      <w:pPr>
        <w:pStyle w:val="5"/>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_Toc28000 </w:instrText>
      </w:r>
      <w:r>
        <w:rPr>
          <w:rFonts w:hint="eastAsia" w:ascii="仿宋" w:hAnsi="仿宋" w:eastAsia="仿宋"/>
          <w:szCs w:val="36"/>
        </w:rPr>
        <w:fldChar w:fldCharType="separate"/>
      </w:r>
      <w:r>
        <w:rPr>
          <w:rFonts w:hint="eastAsia"/>
          <w:lang w:val="en-US" w:eastAsia="zh-CN"/>
        </w:rPr>
        <w:t>2.1.1思想政治状况</w:t>
      </w:r>
      <w:r>
        <w:tab/>
      </w:r>
      <w:r>
        <w:fldChar w:fldCharType="begin"/>
      </w:r>
      <w:r>
        <w:instrText xml:space="preserve"> PAGEREF _Toc28000 \h </w:instrText>
      </w:r>
      <w:r>
        <w:fldChar w:fldCharType="separate"/>
      </w:r>
      <w:r>
        <w:t>- 4 -</w:t>
      </w:r>
      <w:r>
        <w:fldChar w:fldCharType="end"/>
      </w:r>
      <w:r>
        <w:rPr>
          <w:rFonts w:hint="eastAsia" w:ascii="仿宋" w:hAnsi="仿宋" w:eastAsia="仿宋"/>
          <w:color w:val="auto"/>
          <w:szCs w:val="36"/>
        </w:rPr>
        <w:fldChar w:fldCharType="end"/>
      </w:r>
    </w:p>
    <w:p>
      <w:pPr>
        <w:pStyle w:val="5"/>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_Toc9145 </w:instrText>
      </w:r>
      <w:r>
        <w:rPr>
          <w:rFonts w:hint="eastAsia" w:ascii="仿宋" w:hAnsi="仿宋" w:eastAsia="仿宋"/>
          <w:szCs w:val="36"/>
        </w:rPr>
        <w:fldChar w:fldCharType="separate"/>
      </w:r>
      <w:r>
        <w:rPr>
          <w:rFonts w:hint="eastAsia"/>
          <w:lang w:val="en-US" w:eastAsia="zh-CN"/>
        </w:rPr>
        <w:t>2.1.2文化课合格率</w:t>
      </w:r>
      <w:r>
        <w:tab/>
      </w:r>
      <w:r>
        <w:fldChar w:fldCharType="begin"/>
      </w:r>
      <w:r>
        <w:instrText xml:space="preserve"> PAGEREF _Toc9145 \h </w:instrText>
      </w:r>
      <w:r>
        <w:fldChar w:fldCharType="separate"/>
      </w:r>
      <w:r>
        <w:t>- 5 -</w:t>
      </w:r>
      <w:r>
        <w:fldChar w:fldCharType="end"/>
      </w:r>
      <w:r>
        <w:rPr>
          <w:rFonts w:hint="eastAsia" w:ascii="仿宋" w:hAnsi="仿宋" w:eastAsia="仿宋"/>
          <w:color w:val="auto"/>
          <w:szCs w:val="36"/>
        </w:rPr>
        <w:fldChar w:fldCharType="end"/>
      </w:r>
    </w:p>
    <w:p>
      <w:pPr>
        <w:pStyle w:val="5"/>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_Toc29462 </w:instrText>
      </w:r>
      <w:r>
        <w:rPr>
          <w:rFonts w:hint="eastAsia" w:ascii="仿宋" w:hAnsi="仿宋" w:eastAsia="仿宋"/>
          <w:szCs w:val="36"/>
        </w:rPr>
        <w:fldChar w:fldCharType="separate"/>
      </w:r>
      <w:r>
        <w:rPr>
          <w:rFonts w:hint="eastAsia"/>
          <w:lang w:val="en-US" w:eastAsia="zh-CN"/>
        </w:rPr>
        <w:t>2.1.3专业技能合格率</w:t>
      </w:r>
      <w:r>
        <w:tab/>
      </w:r>
      <w:r>
        <w:fldChar w:fldCharType="begin"/>
      </w:r>
      <w:r>
        <w:instrText xml:space="preserve"> PAGEREF _Toc29462 \h </w:instrText>
      </w:r>
      <w:r>
        <w:fldChar w:fldCharType="separate"/>
      </w:r>
      <w:r>
        <w:t>- 5 -</w:t>
      </w:r>
      <w:r>
        <w:fldChar w:fldCharType="end"/>
      </w:r>
      <w:r>
        <w:rPr>
          <w:rFonts w:hint="eastAsia" w:ascii="仿宋" w:hAnsi="仿宋" w:eastAsia="仿宋"/>
          <w:color w:val="auto"/>
          <w:szCs w:val="36"/>
        </w:rPr>
        <w:fldChar w:fldCharType="end"/>
      </w:r>
    </w:p>
    <w:p>
      <w:pPr>
        <w:pStyle w:val="5"/>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_Toc11628 </w:instrText>
      </w:r>
      <w:r>
        <w:rPr>
          <w:rFonts w:hint="eastAsia" w:ascii="仿宋" w:hAnsi="仿宋" w:eastAsia="仿宋"/>
          <w:szCs w:val="36"/>
        </w:rPr>
        <w:fldChar w:fldCharType="separate"/>
      </w:r>
      <w:r>
        <w:rPr>
          <w:rFonts w:hint="eastAsia"/>
          <w:lang w:val="en-US" w:eastAsia="zh-CN"/>
        </w:rPr>
        <w:t>2.1.4体质测评合格率</w:t>
      </w:r>
      <w:r>
        <w:tab/>
      </w:r>
      <w:r>
        <w:fldChar w:fldCharType="begin"/>
      </w:r>
      <w:r>
        <w:instrText xml:space="preserve"> PAGEREF _Toc11628 \h </w:instrText>
      </w:r>
      <w:r>
        <w:fldChar w:fldCharType="separate"/>
      </w:r>
      <w:r>
        <w:t>- 6 -</w:t>
      </w:r>
      <w:r>
        <w:fldChar w:fldCharType="end"/>
      </w:r>
      <w:r>
        <w:rPr>
          <w:rFonts w:hint="eastAsia" w:ascii="仿宋" w:hAnsi="仿宋" w:eastAsia="仿宋"/>
          <w:color w:val="auto"/>
          <w:szCs w:val="36"/>
        </w:rPr>
        <w:fldChar w:fldCharType="end"/>
      </w:r>
    </w:p>
    <w:p>
      <w:pPr>
        <w:pStyle w:val="5"/>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_Toc9619 </w:instrText>
      </w:r>
      <w:r>
        <w:rPr>
          <w:rFonts w:hint="eastAsia" w:ascii="仿宋" w:hAnsi="仿宋" w:eastAsia="仿宋"/>
          <w:szCs w:val="36"/>
        </w:rPr>
        <w:fldChar w:fldCharType="separate"/>
      </w:r>
      <w:r>
        <w:rPr>
          <w:rFonts w:hint="eastAsia"/>
          <w:lang w:val="en-US" w:eastAsia="zh-CN"/>
        </w:rPr>
        <w:t>2.1.5毕业率</w:t>
      </w:r>
      <w:r>
        <w:tab/>
      </w:r>
      <w:r>
        <w:fldChar w:fldCharType="begin"/>
      </w:r>
      <w:r>
        <w:instrText xml:space="preserve"> PAGEREF _Toc9619 \h </w:instrText>
      </w:r>
      <w:r>
        <w:fldChar w:fldCharType="separate"/>
      </w:r>
      <w:r>
        <w:t>- 6 -</w:t>
      </w:r>
      <w:r>
        <w:fldChar w:fldCharType="end"/>
      </w:r>
      <w:r>
        <w:rPr>
          <w:rFonts w:hint="eastAsia" w:ascii="仿宋" w:hAnsi="仿宋" w:eastAsia="仿宋"/>
          <w:color w:val="auto"/>
          <w:szCs w:val="36"/>
        </w:rPr>
        <w:fldChar w:fldCharType="end"/>
      </w:r>
    </w:p>
    <w:p>
      <w:pPr>
        <w:pStyle w:val="5"/>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_Toc9816 </w:instrText>
      </w:r>
      <w:r>
        <w:rPr>
          <w:rFonts w:hint="eastAsia" w:ascii="仿宋" w:hAnsi="仿宋" w:eastAsia="仿宋"/>
          <w:szCs w:val="36"/>
        </w:rPr>
        <w:fldChar w:fldCharType="separate"/>
      </w:r>
      <w:r>
        <w:rPr>
          <w:rFonts w:hint="eastAsia"/>
          <w:lang w:val="en-US" w:eastAsia="zh-CN"/>
        </w:rPr>
        <w:t>2.1.6资格证书获取比例</w:t>
      </w:r>
      <w:r>
        <w:tab/>
      </w:r>
      <w:r>
        <w:fldChar w:fldCharType="begin"/>
      </w:r>
      <w:r>
        <w:instrText xml:space="preserve"> PAGEREF _Toc9816 \h </w:instrText>
      </w:r>
      <w:r>
        <w:fldChar w:fldCharType="separate"/>
      </w:r>
      <w:r>
        <w:t>- 6 -</w:t>
      </w:r>
      <w:r>
        <w:fldChar w:fldCharType="end"/>
      </w:r>
      <w:r>
        <w:rPr>
          <w:rFonts w:hint="eastAsia" w:ascii="仿宋" w:hAnsi="仿宋" w:eastAsia="仿宋"/>
          <w:color w:val="auto"/>
          <w:szCs w:val="36"/>
        </w:rPr>
        <w:fldChar w:fldCharType="end"/>
      </w:r>
    </w:p>
    <w:p>
      <w:pPr>
        <w:pStyle w:val="5"/>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_Toc3150 </w:instrText>
      </w:r>
      <w:r>
        <w:rPr>
          <w:rFonts w:hint="eastAsia" w:ascii="仿宋" w:hAnsi="仿宋" w:eastAsia="仿宋"/>
          <w:szCs w:val="36"/>
        </w:rPr>
        <w:fldChar w:fldCharType="separate"/>
      </w:r>
      <w:r>
        <w:rPr>
          <w:rFonts w:hint="eastAsia"/>
          <w:lang w:val="en-US" w:eastAsia="zh-CN"/>
        </w:rPr>
        <w:t>2.1.7职业技能大赛获奖情况</w:t>
      </w:r>
      <w:r>
        <w:tab/>
      </w:r>
      <w:r>
        <w:fldChar w:fldCharType="begin"/>
      </w:r>
      <w:r>
        <w:instrText xml:space="preserve"> PAGEREF _Toc3150 \h </w:instrText>
      </w:r>
      <w:r>
        <w:fldChar w:fldCharType="separate"/>
      </w:r>
      <w:r>
        <w:t>- 6 -</w:t>
      </w:r>
      <w:r>
        <w:fldChar w:fldCharType="end"/>
      </w:r>
      <w:r>
        <w:rPr>
          <w:rFonts w:hint="eastAsia" w:ascii="仿宋" w:hAnsi="仿宋" w:eastAsia="仿宋"/>
          <w:color w:val="auto"/>
          <w:szCs w:val="36"/>
        </w:rPr>
        <w:fldChar w:fldCharType="end"/>
      </w:r>
    </w:p>
    <w:p>
      <w:pPr>
        <w:pStyle w:val="9"/>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_Toc30152 </w:instrText>
      </w:r>
      <w:r>
        <w:rPr>
          <w:rFonts w:hint="eastAsia" w:ascii="仿宋" w:hAnsi="仿宋" w:eastAsia="仿宋"/>
          <w:szCs w:val="36"/>
        </w:rPr>
        <w:fldChar w:fldCharType="separate"/>
      </w:r>
      <w:r>
        <w:rPr>
          <w:rFonts w:hint="eastAsia"/>
        </w:rPr>
        <w:t>2.2在校体验</w:t>
      </w:r>
      <w:r>
        <w:tab/>
      </w:r>
      <w:r>
        <w:fldChar w:fldCharType="begin"/>
      </w:r>
      <w:r>
        <w:instrText xml:space="preserve"> PAGEREF _Toc30152 \h </w:instrText>
      </w:r>
      <w:r>
        <w:fldChar w:fldCharType="separate"/>
      </w:r>
      <w:r>
        <w:t>- 6 -</w:t>
      </w:r>
      <w:r>
        <w:fldChar w:fldCharType="end"/>
      </w:r>
      <w:r>
        <w:rPr>
          <w:rFonts w:hint="eastAsia" w:ascii="仿宋" w:hAnsi="仿宋" w:eastAsia="仿宋"/>
          <w:color w:val="auto"/>
          <w:szCs w:val="36"/>
        </w:rPr>
        <w:fldChar w:fldCharType="end"/>
      </w:r>
    </w:p>
    <w:p>
      <w:pPr>
        <w:pStyle w:val="5"/>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_Toc10940 </w:instrText>
      </w:r>
      <w:r>
        <w:rPr>
          <w:rFonts w:hint="eastAsia" w:ascii="仿宋" w:hAnsi="仿宋" w:eastAsia="仿宋"/>
          <w:szCs w:val="36"/>
        </w:rPr>
        <w:fldChar w:fldCharType="separate"/>
      </w:r>
      <w:r>
        <w:rPr>
          <w:rFonts w:hint="eastAsia"/>
          <w:lang w:val="en-US" w:eastAsia="zh-CN"/>
        </w:rPr>
        <w:t>2.2.1理论学习满意度</w:t>
      </w:r>
      <w:r>
        <w:tab/>
      </w:r>
      <w:r>
        <w:fldChar w:fldCharType="begin"/>
      </w:r>
      <w:r>
        <w:instrText xml:space="preserve"> PAGEREF _Toc10940 \h </w:instrText>
      </w:r>
      <w:r>
        <w:fldChar w:fldCharType="separate"/>
      </w:r>
      <w:r>
        <w:t>- 6 -</w:t>
      </w:r>
      <w:r>
        <w:fldChar w:fldCharType="end"/>
      </w:r>
      <w:r>
        <w:rPr>
          <w:rFonts w:hint="eastAsia" w:ascii="仿宋" w:hAnsi="仿宋" w:eastAsia="仿宋"/>
          <w:color w:val="auto"/>
          <w:szCs w:val="36"/>
        </w:rPr>
        <w:fldChar w:fldCharType="end"/>
      </w:r>
    </w:p>
    <w:p>
      <w:pPr>
        <w:pStyle w:val="5"/>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_Toc11625 </w:instrText>
      </w:r>
      <w:r>
        <w:rPr>
          <w:rFonts w:hint="eastAsia" w:ascii="仿宋" w:hAnsi="仿宋" w:eastAsia="仿宋"/>
          <w:szCs w:val="36"/>
        </w:rPr>
        <w:fldChar w:fldCharType="separate"/>
      </w:r>
      <w:r>
        <w:rPr>
          <w:rFonts w:hint="eastAsia"/>
          <w:lang w:val="en-US" w:eastAsia="zh-CN"/>
        </w:rPr>
        <w:t>2.2.2专业学习满意度</w:t>
      </w:r>
      <w:r>
        <w:tab/>
      </w:r>
      <w:r>
        <w:fldChar w:fldCharType="begin"/>
      </w:r>
      <w:r>
        <w:instrText xml:space="preserve"> PAGEREF _Toc11625 \h </w:instrText>
      </w:r>
      <w:r>
        <w:fldChar w:fldCharType="separate"/>
      </w:r>
      <w:r>
        <w:t>- 6 -</w:t>
      </w:r>
      <w:r>
        <w:fldChar w:fldCharType="end"/>
      </w:r>
      <w:r>
        <w:rPr>
          <w:rFonts w:hint="eastAsia" w:ascii="仿宋" w:hAnsi="仿宋" w:eastAsia="仿宋"/>
          <w:color w:val="auto"/>
          <w:szCs w:val="36"/>
        </w:rPr>
        <w:fldChar w:fldCharType="end"/>
      </w:r>
    </w:p>
    <w:p>
      <w:pPr>
        <w:pStyle w:val="5"/>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_Toc8113 </w:instrText>
      </w:r>
      <w:r>
        <w:rPr>
          <w:rFonts w:hint="eastAsia" w:ascii="仿宋" w:hAnsi="仿宋" w:eastAsia="仿宋"/>
          <w:szCs w:val="36"/>
        </w:rPr>
        <w:fldChar w:fldCharType="separate"/>
      </w:r>
      <w:r>
        <w:rPr>
          <w:rFonts w:hint="eastAsia"/>
          <w:lang w:val="en-US" w:eastAsia="zh-CN"/>
        </w:rPr>
        <w:t>2.2.3实习实训满意度</w:t>
      </w:r>
      <w:r>
        <w:tab/>
      </w:r>
      <w:r>
        <w:fldChar w:fldCharType="begin"/>
      </w:r>
      <w:r>
        <w:instrText xml:space="preserve"> PAGEREF _Toc8113 \h </w:instrText>
      </w:r>
      <w:r>
        <w:fldChar w:fldCharType="separate"/>
      </w:r>
      <w:r>
        <w:t>- 7 -</w:t>
      </w:r>
      <w:r>
        <w:fldChar w:fldCharType="end"/>
      </w:r>
      <w:r>
        <w:rPr>
          <w:rFonts w:hint="eastAsia" w:ascii="仿宋" w:hAnsi="仿宋" w:eastAsia="仿宋"/>
          <w:color w:val="auto"/>
          <w:szCs w:val="36"/>
        </w:rPr>
        <w:fldChar w:fldCharType="end"/>
      </w:r>
    </w:p>
    <w:p>
      <w:pPr>
        <w:pStyle w:val="5"/>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_Toc32030 </w:instrText>
      </w:r>
      <w:r>
        <w:rPr>
          <w:rFonts w:hint="eastAsia" w:ascii="仿宋" w:hAnsi="仿宋" w:eastAsia="仿宋"/>
          <w:szCs w:val="36"/>
        </w:rPr>
        <w:fldChar w:fldCharType="separate"/>
      </w:r>
      <w:r>
        <w:rPr>
          <w:rFonts w:hint="eastAsia"/>
          <w:lang w:val="en-US" w:eastAsia="zh-CN"/>
        </w:rPr>
        <w:t>2.2.4校园文化与社团满意度</w:t>
      </w:r>
      <w:r>
        <w:tab/>
      </w:r>
      <w:r>
        <w:fldChar w:fldCharType="begin"/>
      </w:r>
      <w:r>
        <w:instrText xml:space="preserve"> PAGEREF _Toc32030 \h </w:instrText>
      </w:r>
      <w:r>
        <w:fldChar w:fldCharType="separate"/>
      </w:r>
      <w:r>
        <w:t>- 7 -</w:t>
      </w:r>
      <w:r>
        <w:fldChar w:fldCharType="end"/>
      </w:r>
      <w:r>
        <w:rPr>
          <w:rFonts w:hint="eastAsia" w:ascii="仿宋" w:hAnsi="仿宋" w:eastAsia="仿宋"/>
          <w:color w:val="auto"/>
          <w:szCs w:val="36"/>
        </w:rPr>
        <w:fldChar w:fldCharType="end"/>
      </w:r>
    </w:p>
    <w:p>
      <w:pPr>
        <w:pStyle w:val="5"/>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_Toc7805 </w:instrText>
      </w:r>
      <w:r>
        <w:rPr>
          <w:rFonts w:hint="eastAsia" w:ascii="仿宋" w:hAnsi="仿宋" w:eastAsia="仿宋"/>
          <w:szCs w:val="36"/>
        </w:rPr>
        <w:fldChar w:fldCharType="separate"/>
      </w:r>
      <w:r>
        <w:rPr>
          <w:rFonts w:hint="eastAsia"/>
          <w:lang w:val="en-US" w:eastAsia="zh-CN"/>
        </w:rPr>
        <w:t>2.2.5生活满意度</w:t>
      </w:r>
      <w:r>
        <w:tab/>
      </w:r>
      <w:r>
        <w:fldChar w:fldCharType="begin"/>
      </w:r>
      <w:r>
        <w:instrText xml:space="preserve"> PAGEREF _Toc7805 \h </w:instrText>
      </w:r>
      <w:r>
        <w:fldChar w:fldCharType="separate"/>
      </w:r>
      <w:r>
        <w:t>- 7 -</w:t>
      </w:r>
      <w:r>
        <w:fldChar w:fldCharType="end"/>
      </w:r>
      <w:r>
        <w:rPr>
          <w:rFonts w:hint="eastAsia" w:ascii="仿宋" w:hAnsi="仿宋" w:eastAsia="仿宋"/>
          <w:color w:val="auto"/>
          <w:szCs w:val="36"/>
        </w:rPr>
        <w:fldChar w:fldCharType="end"/>
      </w:r>
    </w:p>
    <w:p>
      <w:pPr>
        <w:pStyle w:val="5"/>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_Toc18970 </w:instrText>
      </w:r>
      <w:r>
        <w:rPr>
          <w:rFonts w:hint="eastAsia" w:ascii="仿宋" w:hAnsi="仿宋" w:eastAsia="仿宋"/>
          <w:szCs w:val="36"/>
        </w:rPr>
        <w:fldChar w:fldCharType="separate"/>
      </w:r>
      <w:r>
        <w:rPr>
          <w:rFonts w:hint="eastAsia"/>
          <w:lang w:val="en-US" w:eastAsia="zh-CN"/>
        </w:rPr>
        <w:t>2.2.6校园安全满意度</w:t>
      </w:r>
      <w:r>
        <w:tab/>
      </w:r>
      <w:r>
        <w:fldChar w:fldCharType="begin"/>
      </w:r>
      <w:r>
        <w:instrText xml:space="preserve"> PAGEREF _Toc18970 \h </w:instrText>
      </w:r>
      <w:r>
        <w:fldChar w:fldCharType="separate"/>
      </w:r>
      <w:r>
        <w:t>- 7 -</w:t>
      </w:r>
      <w:r>
        <w:fldChar w:fldCharType="end"/>
      </w:r>
      <w:r>
        <w:rPr>
          <w:rFonts w:hint="eastAsia" w:ascii="仿宋" w:hAnsi="仿宋" w:eastAsia="仿宋"/>
          <w:color w:val="auto"/>
          <w:szCs w:val="36"/>
        </w:rPr>
        <w:fldChar w:fldCharType="end"/>
      </w:r>
    </w:p>
    <w:p>
      <w:pPr>
        <w:pStyle w:val="5"/>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_Toc8709 </w:instrText>
      </w:r>
      <w:r>
        <w:rPr>
          <w:rFonts w:hint="eastAsia" w:ascii="仿宋" w:hAnsi="仿宋" w:eastAsia="仿宋"/>
          <w:szCs w:val="36"/>
        </w:rPr>
        <w:fldChar w:fldCharType="separate"/>
      </w:r>
      <w:r>
        <w:rPr>
          <w:rFonts w:hint="eastAsia"/>
          <w:lang w:val="en-US" w:eastAsia="zh-CN"/>
        </w:rPr>
        <w:t>2.2.7毕业生对学校满意度</w:t>
      </w:r>
      <w:r>
        <w:tab/>
      </w:r>
      <w:r>
        <w:fldChar w:fldCharType="begin"/>
      </w:r>
      <w:r>
        <w:instrText xml:space="preserve"> PAGEREF _Toc8709 \h </w:instrText>
      </w:r>
      <w:r>
        <w:fldChar w:fldCharType="separate"/>
      </w:r>
      <w:r>
        <w:t>- 7 -</w:t>
      </w:r>
      <w:r>
        <w:fldChar w:fldCharType="end"/>
      </w:r>
      <w:r>
        <w:rPr>
          <w:rFonts w:hint="eastAsia" w:ascii="仿宋" w:hAnsi="仿宋" w:eastAsia="仿宋"/>
          <w:color w:val="auto"/>
          <w:szCs w:val="36"/>
        </w:rPr>
        <w:fldChar w:fldCharType="end"/>
      </w:r>
    </w:p>
    <w:p>
      <w:pPr>
        <w:pStyle w:val="9"/>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_Toc11308 </w:instrText>
      </w:r>
      <w:r>
        <w:rPr>
          <w:rFonts w:hint="eastAsia" w:ascii="仿宋" w:hAnsi="仿宋" w:eastAsia="仿宋"/>
          <w:szCs w:val="36"/>
        </w:rPr>
        <w:fldChar w:fldCharType="separate"/>
      </w:r>
      <w:r>
        <w:rPr>
          <w:rFonts w:hint="eastAsia"/>
        </w:rPr>
        <w:t>2.3资助情况</w:t>
      </w:r>
      <w:r>
        <w:tab/>
      </w:r>
      <w:r>
        <w:fldChar w:fldCharType="begin"/>
      </w:r>
      <w:r>
        <w:instrText xml:space="preserve"> PAGEREF _Toc11308 \h </w:instrText>
      </w:r>
      <w:r>
        <w:fldChar w:fldCharType="separate"/>
      </w:r>
      <w:r>
        <w:t>- 8 -</w:t>
      </w:r>
      <w:r>
        <w:fldChar w:fldCharType="end"/>
      </w:r>
      <w:r>
        <w:rPr>
          <w:rFonts w:hint="eastAsia" w:ascii="仿宋" w:hAnsi="仿宋" w:eastAsia="仿宋"/>
          <w:color w:val="auto"/>
          <w:szCs w:val="36"/>
        </w:rPr>
        <w:fldChar w:fldCharType="end"/>
      </w:r>
    </w:p>
    <w:p>
      <w:pPr>
        <w:pStyle w:val="9"/>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_Toc27179 </w:instrText>
      </w:r>
      <w:r>
        <w:rPr>
          <w:rFonts w:hint="eastAsia" w:ascii="仿宋" w:hAnsi="仿宋" w:eastAsia="仿宋"/>
          <w:szCs w:val="36"/>
        </w:rPr>
        <w:fldChar w:fldCharType="separate"/>
      </w:r>
      <w:r>
        <w:rPr>
          <w:rFonts w:hint="eastAsia"/>
          <w:lang w:val="en-US" w:eastAsia="zh-CN"/>
        </w:rPr>
        <w:t>2.4就业质量</w:t>
      </w:r>
      <w:r>
        <w:tab/>
      </w:r>
      <w:r>
        <w:fldChar w:fldCharType="begin"/>
      </w:r>
      <w:r>
        <w:instrText xml:space="preserve"> PAGEREF _Toc27179 \h </w:instrText>
      </w:r>
      <w:r>
        <w:fldChar w:fldCharType="separate"/>
      </w:r>
      <w:r>
        <w:t>- 8 -</w:t>
      </w:r>
      <w:r>
        <w:fldChar w:fldCharType="end"/>
      </w:r>
      <w:r>
        <w:rPr>
          <w:rFonts w:hint="eastAsia" w:ascii="仿宋" w:hAnsi="仿宋" w:eastAsia="仿宋"/>
          <w:color w:val="auto"/>
          <w:szCs w:val="36"/>
        </w:rPr>
        <w:fldChar w:fldCharType="end"/>
      </w:r>
    </w:p>
    <w:p>
      <w:pPr>
        <w:pStyle w:val="9"/>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_Toc2907 </w:instrText>
      </w:r>
      <w:r>
        <w:rPr>
          <w:rFonts w:hint="eastAsia" w:ascii="仿宋" w:hAnsi="仿宋" w:eastAsia="仿宋"/>
          <w:szCs w:val="36"/>
        </w:rPr>
        <w:fldChar w:fldCharType="separate"/>
      </w:r>
      <w:r>
        <w:rPr>
          <w:rFonts w:hint="eastAsia"/>
        </w:rPr>
        <w:t>2.5职业发展</w:t>
      </w:r>
      <w:r>
        <w:tab/>
      </w:r>
      <w:r>
        <w:fldChar w:fldCharType="begin"/>
      </w:r>
      <w:r>
        <w:instrText xml:space="preserve"> PAGEREF _Toc2907 \h </w:instrText>
      </w:r>
      <w:r>
        <w:fldChar w:fldCharType="separate"/>
      </w:r>
      <w:r>
        <w:t>- 8 -</w:t>
      </w:r>
      <w:r>
        <w:fldChar w:fldCharType="end"/>
      </w:r>
      <w:r>
        <w:rPr>
          <w:rFonts w:hint="eastAsia" w:ascii="仿宋" w:hAnsi="仿宋" w:eastAsia="仿宋"/>
          <w:color w:val="auto"/>
          <w:szCs w:val="36"/>
        </w:rPr>
        <w:fldChar w:fldCharType="end"/>
      </w:r>
    </w:p>
    <w:p>
      <w:pPr>
        <w:pStyle w:val="8"/>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_Toc5843 </w:instrText>
      </w:r>
      <w:r>
        <w:rPr>
          <w:rFonts w:hint="eastAsia" w:ascii="仿宋" w:hAnsi="仿宋" w:eastAsia="仿宋"/>
          <w:szCs w:val="36"/>
        </w:rPr>
        <w:fldChar w:fldCharType="separate"/>
      </w:r>
      <w:r>
        <w:rPr>
          <w:rFonts w:hint="eastAsia"/>
          <w:lang w:val="en-US" w:eastAsia="zh-CN"/>
        </w:rPr>
        <w:t>3.</w:t>
      </w:r>
      <w:r>
        <w:rPr>
          <w:rFonts w:hint="eastAsia"/>
        </w:rPr>
        <w:t>质量保障措施</w:t>
      </w:r>
      <w:r>
        <w:tab/>
      </w:r>
      <w:r>
        <w:fldChar w:fldCharType="begin"/>
      </w:r>
      <w:r>
        <w:instrText xml:space="preserve"> PAGEREF _Toc5843 \h </w:instrText>
      </w:r>
      <w:r>
        <w:fldChar w:fldCharType="separate"/>
      </w:r>
      <w:r>
        <w:t>- 9 -</w:t>
      </w:r>
      <w:r>
        <w:fldChar w:fldCharType="end"/>
      </w:r>
      <w:r>
        <w:rPr>
          <w:rFonts w:hint="eastAsia" w:ascii="仿宋" w:hAnsi="仿宋" w:eastAsia="仿宋"/>
          <w:color w:val="auto"/>
          <w:szCs w:val="36"/>
        </w:rPr>
        <w:fldChar w:fldCharType="end"/>
      </w:r>
    </w:p>
    <w:p>
      <w:pPr>
        <w:pStyle w:val="9"/>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_Toc29634 </w:instrText>
      </w:r>
      <w:r>
        <w:rPr>
          <w:rFonts w:hint="eastAsia" w:ascii="仿宋" w:hAnsi="仿宋" w:eastAsia="仿宋"/>
          <w:szCs w:val="36"/>
        </w:rPr>
        <w:fldChar w:fldCharType="separate"/>
      </w:r>
      <w:r>
        <w:rPr>
          <w:rFonts w:hint="eastAsia"/>
        </w:rPr>
        <w:t>3.1专业动态调整</w:t>
      </w:r>
      <w:r>
        <w:tab/>
      </w:r>
      <w:r>
        <w:fldChar w:fldCharType="begin"/>
      </w:r>
      <w:r>
        <w:instrText xml:space="preserve"> PAGEREF _Toc29634 \h </w:instrText>
      </w:r>
      <w:r>
        <w:fldChar w:fldCharType="separate"/>
      </w:r>
      <w:r>
        <w:t>- 9 -</w:t>
      </w:r>
      <w:r>
        <w:fldChar w:fldCharType="end"/>
      </w:r>
      <w:r>
        <w:rPr>
          <w:rFonts w:hint="eastAsia" w:ascii="仿宋" w:hAnsi="仿宋" w:eastAsia="仿宋"/>
          <w:color w:val="auto"/>
          <w:szCs w:val="36"/>
        </w:rPr>
        <w:fldChar w:fldCharType="end"/>
      </w:r>
    </w:p>
    <w:p>
      <w:pPr>
        <w:pStyle w:val="9"/>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_Toc14754 </w:instrText>
      </w:r>
      <w:r>
        <w:rPr>
          <w:rFonts w:hint="eastAsia" w:ascii="仿宋" w:hAnsi="仿宋" w:eastAsia="仿宋"/>
          <w:szCs w:val="36"/>
        </w:rPr>
        <w:fldChar w:fldCharType="separate"/>
      </w:r>
      <w:r>
        <w:rPr>
          <w:rFonts w:hint="eastAsia"/>
          <w:lang w:val="en-US" w:eastAsia="zh-CN"/>
        </w:rPr>
        <w:t>3.2教育教学改革</w:t>
      </w:r>
      <w:r>
        <w:tab/>
      </w:r>
      <w:r>
        <w:fldChar w:fldCharType="begin"/>
      </w:r>
      <w:r>
        <w:instrText xml:space="preserve"> PAGEREF _Toc14754 \h </w:instrText>
      </w:r>
      <w:r>
        <w:fldChar w:fldCharType="separate"/>
      </w:r>
      <w:r>
        <w:t>- 10 -</w:t>
      </w:r>
      <w:r>
        <w:fldChar w:fldCharType="end"/>
      </w:r>
      <w:r>
        <w:rPr>
          <w:rFonts w:hint="eastAsia" w:ascii="仿宋" w:hAnsi="仿宋" w:eastAsia="仿宋"/>
          <w:color w:val="auto"/>
          <w:szCs w:val="36"/>
        </w:rPr>
        <w:fldChar w:fldCharType="end"/>
      </w:r>
    </w:p>
    <w:p>
      <w:pPr>
        <w:pStyle w:val="9"/>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_Toc11354 </w:instrText>
      </w:r>
      <w:r>
        <w:rPr>
          <w:rFonts w:hint="eastAsia" w:ascii="仿宋" w:hAnsi="仿宋" w:eastAsia="仿宋"/>
          <w:szCs w:val="36"/>
        </w:rPr>
        <w:fldChar w:fldCharType="separate"/>
      </w:r>
      <w:r>
        <w:rPr>
          <w:rFonts w:hint="eastAsia"/>
        </w:rPr>
        <w:t>3.3 教师培养培训</w:t>
      </w:r>
      <w:r>
        <w:tab/>
      </w:r>
      <w:r>
        <w:fldChar w:fldCharType="begin"/>
      </w:r>
      <w:r>
        <w:instrText xml:space="preserve"> PAGEREF _Toc11354 \h </w:instrText>
      </w:r>
      <w:r>
        <w:fldChar w:fldCharType="separate"/>
      </w:r>
      <w:r>
        <w:t>- 12 -</w:t>
      </w:r>
      <w:r>
        <w:fldChar w:fldCharType="end"/>
      </w:r>
      <w:r>
        <w:rPr>
          <w:rFonts w:hint="eastAsia" w:ascii="仿宋" w:hAnsi="仿宋" w:eastAsia="仿宋"/>
          <w:color w:val="auto"/>
          <w:szCs w:val="36"/>
        </w:rPr>
        <w:fldChar w:fldCharType="end"/>
      </w:r>
    </w:p>
    <w:p>
      <w:pPr>
        <w:pStyle w:val="9"/>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_Toc21108 </w:instrText>
      </w:r>
      <w:r>
        <w:rPr>
          <w:rFonts w:hint="eastAsia" w:ascii="仿宋" w:hAnsi="仿宋" w:eastAsia="仿宋"/>
          <w:szCs w:val="36"/>
        </w:rPr>
        <w:fldChar w:fldCharType="separate"/>
      </w:r>
      <w:r>
        <w:rPr>
          <w:rFonts w:hint="eastAsia"/>
        </w:rPr>
        <w:t>3.4规范管理情况</w:t>
      </w:r>
      <w:r>
        <w:tab/>
      </w:r>
      <w:r>
        <w:fldChar w:fldCharType="begin"/>
      </w:r>
      <w:r>
        <w:instrText xml:space="preserve"> PAGEREF _Toc21108 \h </w:instrText>
      </w:r>
      <w:r>
        <w:fldChar w:fldCharType="separate"/>
      </w:r>
      <w:r>
        <w:t>- 13 -</w:t>
      </w:r>
      <w:r>
        <w:fldChar w:fldCharType="end"/>
      </w:r>
      <w:r>
        <w:rPr>
          <w:rFonts w:hint="eastAsia" w:ascii="仿宋" w:hAnsi="仿宋" w:eastAsia="仿宋"/>
          <w:color w:val="auto"/>
          <w:szCs w:val="36"/>
        </w:rPr>
        <w:fldChar w:fldCharType="end"/>
      </w:r>
    </w:p>
    <w:p>
      <w:pPr>
        <w:pStyle w:val="5"/>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_Toc9778 </w:instrText>
      </w:r>
      <w:r>
        <w:rPr>
          <w:rFonts w:hint="eastAsia" w:ascii="仿宋" w:hAnsi="仿宋" w:eastAsia="仿宋"/>
          <w:szCs w:val="36"/>
        </w:rPr>
        <w:fldChar w:fldCharType="separate"/>
      </w:r>
      <w:r>
        <w:rPr>
          <w:rFonts w:hint="eastAsia"/>
          <w:lang w:val="en-US" w:eastAsia="zh-CN"/>
        </w:rPr>
        <w:t>3.4.1教学管理</w:t>
      </w:r>
      <w:r>
        <w:tab/>
      </w:r>
      <w:r>
        <w:fldChar w:fldCharType="begin"/>
      </w:r>
      <w:r>
        <w:instrText xml:space="preserve"> PAGEREF _Toc9778 \h </w:instrText>
      </w:r>
      <w:r>
        <w:fldChar w:fldCharType="separate"/>
      </w:r>
      <w:r>
        <w:t>- 13 -</w:t>
      </w:r>
      <w:r>
        <w:fldChar w:fldCharType="end"/>
      </w:r>
      <w:r>
        <w:rPr>
          <w:rFonts w:hint="eastAsia" w:ascii="仿宋" w:hAnsi="仿宋" w:eastAsia="仿宋"/>
          <w:color w:val="auto"/>
          <w:szCs w:val="36"/>
        </w:rPr>
        <w:fldChar w:fldCharType="end"/>
      </w:r>
    </w:p>
    <w:p>
      <w:pPr>
        <w:pStyle w:val="5"/>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_Toc18405 </w:instrText>
      </w:r>
      <w:r>
        <w:rPr>
          <w:rFonts w:hint="eastAsia" w:ascii="仿宋" w:hAnsi="仿宋" w:eastAsia="仿宋"/>
          <w:szCs w:val="36"/>
        </w:rPr>
        <w:fldChar w:fldCharType="separate"/>
      </w:r>
      <w:r>
        <w:rPr>
          <w:rFonts w:hint="eastAsia"/>
          <w:lang w:val="en-US" w:eastAsia="zh-CN"/>
        </w:rPr>
        <w:t>3.4.2学生管理</w:t>
      </w:r>
      <w:r>
        <w:tab/>
      </w:r>
      <w:r>
        <w:fldChar w:fldCharType="begin"/>
      </w:r>
      <w:r>
        <w:instrText xml:space="preserve"> PAGEREF _Toc18405 \h </w:instrText>
      </w:r>
      <w:r>
        <w:fldChar w:fldCharType="separate"/>
      </w:r>
      <w:r>
        <w:t>- 13 -</w:t>
      </w:r>
      <w:r>
        <w:fldChar w:fldCharType="end"/>
      </w:r>
      <w:r>
        <w:rPr>
          <w:rFonts w:hint="eastAsia" w:ascii="仿宋" w:hAnsi="仿宋" w:eastAsia="仿宋"/>
          <w:color w:val="auto"/>
          <w:szCs w:val="36"/>
        </w:rPr>
        <w:fldChar w:fldCharType="end"/>
      </w:r>
    </w:p>
    <w:p>
      <w:pPr>
        <w:pStyle w:val="5"/>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_Toc28044 </w:instrText>
      </w:r>
      <w:r>
        <w:rPr>
          <w:rFonts w:hint="eastAsia" w:ascii="仿宋" w:hAnsi="仿宋" w:eastAsia="仿宋"/>
          <w:szCs w:val="36"/>
        </w:rPr>
        <w:fldChar w:fldCharType="separate"/>
      </w:r>
      <w:r>
        <w:rPr>
          <w:rFonts w:hint="eastAsia"/>
          <w:lang w:val="en-US" w:eastAsia="zh-CN"/>
        </w:rPr>
        <w:t>3.4.3财务管理</w:t>
      </w:r>
      <w:r>
        <w:tab/>
      </w:r>
      <w:r>
        <w:fldChar w:fldCharType="begin"/>
      </w:r>
      <w:r>
        <w:instrText xml:space="preserve"> PAGEREF _Toc28044 \h </w:instrText>
      </w:r>
      <w:r>
        <w:fldChar w:fldCharType="separate"/>
      </w:r>
      <w:r>
        <w:t>- 13 -</w:t>
      </w:r>
      <w:r>
        <w:fldChar w:fldCharType="end"/>
      </w:r>
      <w:r>
        <w:rPr>
          <w:rFonts w:hint="eastAsia" w:ascii="仿宋" w:hAnsi="仿宋" w:eastAsia="仿宋"/>
          <w:color w:val="auto"/>
          <w:szCs w:val="36"/>
        </w:rPr>
        <w:fldChar w:fldCharType="end"/>
      </w:r>
    </w:p>
    <w:p>
      <w:pPr>
        <w:pStyle w:val="5"/>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_Toc6113 </w:instrText>
      </w:r>
      <w:r>
        <w:rPr>
          <w:rFonts w:hint="eastAsia" w:ascii="仿宋" w:hAnsi="仿宋" w:eastAsia="仿宋"/>
          <w:szCs w:val="36"/>
        </w:rPr>
        <w:fldChar w:fldCharType="separate"/>
      </w:r>
      <w:r>
        <w:rPr>
          <w:rFonts w:hint="eastAsia"/>
          <w:lang w:val="en-US" w:eastAsia="zh-CN"/>
        </w:rPr>
        <w:t>3.4.4后勤服务规范有序</w:t>
      </w:r>
      <w:r>
        <w:tab/>
      </w:r>
      <w:r>
        <w:fldChar w:fldCharType="begin"/>
      </w:r>
      <w:r>
        <w:instrText xml:space="preserve"> PAGEREF _Toc6113 \h </w:instrText>
      </w:r>
      <w:r>
        <w:fldChar w:fldCharType="separate"/>
      </w:r>
      <w:r>
        <w:t>- 14 -</w:t>
      </w:r>
      <w:r>
        <w:fldChar w:fldCharType="end"/>
      </w:r>
      <w:r>
        <w:rPr>
          <w:rFonts w:hint="eastAsia" w:ascii="仿宋" w:hAnsi="仿宋" w:eastAsia="仿宋"/>
          <w:color w:val="auto"/>
          <w:szCs w:val="36"/>
        </w:rPr>
        <w:fldChar w:fldCharType="end"/>
      </w:r>
    </w:p>
    <w:p>
      <w:pPr>
        <w:pStyle w:val="5"/>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_Toc8030 </w:instrText>
      </w:r>
      <w:r>
        <w:rPr>
          <w:rFonts w:hint="eastAsia" w:ascii="仿宋" w:hAnsi="仿宋" w:eastAsia="仿宋"/>
          <w:szCs w:val="36"/>
        </w:rPr>
        <w:fldChar w:fldCharType="separate"/>
      </w:r>
      <w:r>
        <w:rPr>
          <w:rFonts w:hint="eastAsia"/>
          <w:lang w:val="en-US" w:eastAsia="zh-CN"/>
        </w:rPr>
        <w:t>3.4.5安全管理</w:t>
      </w:r>
      <w:r>
        <w:tab/>
      </w:r>
      <w:r>
        <w:fldChar w:fldCharType="begin"/>
      </w:r>
      <w:r>
        <w:instrText xml:space="preserve"> PAGEREF _Toc8030 \h </w:instrText>
      </w:r>
      <w:r>
        <w:fldChar w:fldCharType="separate"/>
      </w:r>
      <w:r>
        <w:t>- 14 -</w:t>
      </w:r>
      <w:r>
        <w:fldChar w:fldCharType="end"/>
      </w:r>
      <w:r>
        <w:rPr>
          <w:rFonts w:hint="eastAsia" w:ascii="仿宋" w:hAnsi="仿宋" w:eastAsia="仿宋"/>
          <w:color w:val="auto"/>
          <w:szCs w:val="36"/>
        </w:rPr>
        <w:fldChar w:fldCharType="end"/>
      </w:r>
    </w:p>
    <w:p>
      <w:pPr>
        <w:pStyle w:val="5"/>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_Toc16519 </w:instrText>
      </w:r>
      <w:r>
        <w:rPr>
          <w:rFonts w:hint="eastAsia" w:ascii="仿宋" w:hAnsi="仿宋" w:eastAsia="仿宋"/>
          <w:szCs w:val="36"/>
        </w:rPr>
        <w:fldChar w:fldCharType="separate"/>
      </w:r>
      <w:r>
        <w:rPr>
          <w:rFonts w:hint="eastAsia"/>
          <w:lang w:val="en-US" w:eastAsia="zh-CN"/>
        </w:rPr>
        <w:t>3.4.6科研管理和管理队伍建设</w:t>
      </w:r>
      <w:r>
        <w:tab/>
      </w:r>
      <w:r>
        <w:fldChar w:fldCharType="begin"/>
      </w:r>
      <w:r>
        <w:instrText xml:space="preserve"> PAGEREF _Toc16519 \h </w:instrText>
      </w:r>
      <w:r>
        <w:fldChar w:fldCharType="separate"/>
      </w:r>
      <w:r>
        <w:t>- 15 -</w:t>
      </w:r>
      <w:r>
        <w:fldChar w:fldCharType="end"/>
      </w:r>
      <w:r>
        <w:rPr>
          <w:rFonts w:hint="eastAsia" w:ascii="仿宋" w:hAnsi="仿宋" w:eastAsia="仿宋"/>
          <w:color w:val="auto"/>
          <w:szCs w:val="36"/>
        </w:rPr>
        <w:fldChar w:fldCharType="end"/>
      </w:r>
    </w:p>
    <w:p>
      <w:pPr>
        <w:pStyle w:val="5"/>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_Toc9726 </w:instrText>
      </w:r>
      <w:r>
        <w:rPr>
          <w:rFonts w:hint="eastAsia" w:ascii="仿宋" w:hAnsi="仿宋" w:eastAsia="仿宋"/>
          <w:szCs w:val="36"/>
        </w:rPr>
        <w:fldChar w:fldCharType="separate"/>
      </w:r>
      <w:r>
        <w:rPr>
          <w:rFonts w:hint="eastAsia"/>
          <w:lang w:val="en-US" w:eastAsia="zh-CN"/>
        </w:rPr>
        <w:t>3.4.7管理信息化水平方面</w:t>
      </w:r>
      <w:r>
        <w:tab/>
      </w:r>
      <w:r>
        <w:fldChar w:fldCharType="begin"/>
      </w:r>
      <w:r>
        <w:instrText xml:space="preserve"> PAGEREF _Toc9726 \h </w:instrText>
      </w:r>
      <w:r>
        <w:fldChar w:fldCharType="separate"/>
      </w:r>
      <w:r>
        <w:t>- 15 -</w:t>
      </w:r>
      <w:r>
        <w:fldChar w:fldCharType="end"/>
      </w:r>
      <w:r>
        <w:rPr>
          <w:rFonts w:hint="eastAsia" w:ascii="仿宋" w:hAnsi="仿宋" w:eastAsia="仿宋"/>
          <w:color w:val="auto"/>
          <w:szCs w:val="36"/>
        </w:rPr>
        <w:fldChar w:fldCharType="end"/>
      </w:r>
    </w:p>
    <w:p>
      <w:pPr>
        <w:pStyle w:val="9"/>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_Toc21880 </w:instrText>
      </w:r>
      <w:r>
        <w:rPr>
          <w:rFonts w:hint="eastAsia" w:ascii="仿宋" w:hAnsi="仿宋" w:eastAsia="仿宋"/>
          <w:szCs w:val="36"/>
        </w:rPr>
        <w:fldChar w:fldCharType="separate"/>
      </w:r>
      <w:r>
        <w:rPr>
          <w:rFonts w:hint="eastAsia"/>
        </w:rPr>
        <w:t>3.5 德育工作情况</w:t>
      </w:r>
      <w:r>
        <w:tab/>
      </w:r>
      <w:r>
        <w:fldChar w:fldCharType="begin"/>
      </w:r>
      <w:r>
        <w:instrText xml:space="preserve"> PAGEREF _Toc21880 \h </w:instrText>
      </w:r>
      <w:r>
        <w:fldChar w:fldCharType="separate"/>
      </w:r>
      <w:r>
        <w:t>- 15 -</w:t>
      </w:r>
      <w:r>
        <w:fldChar w:fldCharType="end"/>
      </w:r>
      <w:r>
        <w:rPr>
          <w:rFonts w:hint="eastAsia" w:ascii="仿宋" w:hAnsi="仿宋" w:eastAsia="仿宋"/>
          <w:color w:val="auto"/>
          <w:szCs w:val="36"/>
        </w:rPr>
        <w:fldChar w:fldCharType="end"/>
      </w:r>
    </w:p>
    <w:p>
      <w:pPr>
        <w:pStyle w:val="5"/>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_Toc5403 </w:instrText>
      </w:r>
      <w:r>
        <w:rPr>
          <w:rFonts w:hint="eastAsia" w:ascii="仿宋" w:hAnsi="仿宋" w:eastAsia="仿宋"/>
          <w:szCs w:val="36"/>
        </w:rPr>
        <w:fldChar w:fldCharType="separate"/>
      </w:r>
      <w:r>
        <w:rPr>
          <w:rFonts w:hint="eastAsia"/>
          <w:lang w:val="en-US" w:eastAsia="zh-CN"/>
        </w:rPr>
        <w:t>3.5.1德育课实施情况</w:t>
      </w:r>
      <w:r>
        <w:tab/>
      </w:r>
      <w:r>
        <w:fldChar w:fldCharType="begin"/>
      </w:r>
      <w:r>
        <w:instrText xml:space="preserve"> PAGEREF _Toc5403 \h </w:instrText>
      </w:r>
      <w:r>
        <w:fldChar w:fldCharType="separate"/>
      </w:r>
      <w:r>
        <w:t>- 15 -</w:t>
      </w:r>
      <w:r>
        <w:fldChar w:fldCharType="end"/>
      </w:r>
      <w:r>
        <w:rPr>
          <w:rFonts w:hint="eastAsia" w:ascii="仿宋" w:hAnsi="仿宋" w:eastAsia="仿宋"/>
          <w:color w:val="auto"/>
          <w:szCs w:val="36"/>
        </w:rPr>
        <w:fldChar w:fldCharType="end"/>
      </w:r>
    </w:p>
    <w:p>
      <w:pPr>
        <w:pStyle w:val="5"/>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_Toc11884 </w:instrText>
      </w:r>
      <w:r>
        <w:rPr>
          <w:rFonts w:hint="eastAsia" w:ascii="仿宋" w:hAnsi="仿宋" w:eastAsia="仿宋"/>
          <w:szCs w:val="36"/>
        </w:rPr>
        <w:fldChar w:fldCharType="separate"/>
      </w:r>
      <w:r>
        <w:rPr>
          <w:rFonts w:hint="eastAsia"/>
          <w:lang w:val="en-US" w:eastAsia="zh-CN"/>
        </w:rPr>
        <w:t>3.5.2校园文化建设</w:t>
      </w:r>
      <w:r>
        <w:tab/>
      </w:r>
      <w:r>
        <w:fldChar w:fldCharType="begin"/>
      </w:r>
      <w:r>
        <w:instrText xml:space="preserve"> PAGEREF _Toc11884 \h </w:instrText>
      </w:r>
      <w:r>
        <w:fldChar w:fldCharType="separate"/>
      </w:r>
      <w:r>
        <w:t>- 15 -</w:t>
      </w:r>
      <w:r>
        <w:fldChar w:fldCharType="end"/>
      </w:r>
      <w:r>
        <w:rPr>
          <w:rFonts w:hint="eastAsia" w:ascii="仿宋" w:hAnsi="仿宋" w:eastAsia="仿宋"/>
          <w:color w:val="auto"/>
          <w:szCs w:val="36"/>
        </w:rPr>
        <w:fldChar w:fldCharType="end"/>
      </w:r>
    </w:p>
    <w:p>
      <w:pPr>
        <w:pStyle w:val="5"/>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_Toc23417 </w:instrText>
      </w:r>
      <w:r>
        <w:rPr>
          <w:rFonts w:hint="eastAsia" w:ascii="仿宋" w:hAnsi="仿宋" w:eastAsia="仿宋"/>
          <w:szCs w:val="36"/>
        </w:rPr>
        <w:fldChar w:fldCharType="separate"/>
      </w:r>
      <w:r>
        <w:rPr>
          <w:rFonts w:hint="eastAsia"/>
          <w:lang w:val="en-US" w:eastAsia="zh-CN"/>
        </w:rPr>
        <w:t>3.5.3文明风采活动开展情况</w:t>
      </w:r>
      <w:r>
        <w:tab/>
      </w:r>
      <w:r>
        <w:fldChar w:fldCharType="begin"/>
      </w:r>
      <w:r>
        <w:instrText xml:space="preserve"> PAGEREF _Toc23417 \h </w:instrText>
      </w:r>
      <w:r>
        <w:fldChar w:fldCharType="separate"/>
      </w:r>
      <w:r>
        <w:t>- 16 -</w:t>
      </w:r>
      <w:r>
        <w:fldChar w:fldCharType="end"/>
      </w:r>
      <w:r>
        <w:rPr>
          <w:rFonts w:hint="eastAsia" w:ascii="仿宋" w:hAnsi="仿宋" w:eastAsia="仿宋"/>
          <w:color w:val="auto"/>
          <w:szCs w:val="36"/>
        </w:rPr>
        <w:fldChar w:fldCharType="end"/>
      </w:r>
    </w:p>
    <w:p>
      <w:pPr>
        <w:pStyle w:val="5"/>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_Toc23154 </w:instrText>
      </w:r>
      <w:r>
        <w:rPr>
          <w:rFonts w:hint="eastAsia" w:ascii="仿宋" w:hAnsi="仿宋" w:eastAsia="仿宋"/>
          <w:szCs w:val="36"/>
        </w:rPr>
        <w:fldChar w:fldCharType="separate"/>
      </w:r>
      <w:r>
        <w:rPr>
          <w:rFonts w:hint="eastAsia"/>
          <w:lang w:val="en-US" w:eastAsia="zh-CN"/>
        </w:rPr>
        <w:t>3.5.4社团活动</w:t>
      </w:r>
      <w:r>
        <w:tab/>
      </w:r>
      <w:r>
        <w:fldChar w:fldCharType="begin"/>
      </w:r>
      <w:r>
        <w:instrText xml:space="preserve"> PAGEREF _Toc23154 \h </w:instrText>
      </w:r>
      <w:r>
        <w:fldChar w:fldCharType="separate"/>
      </w:r>
      <w:r>
        <w:t>- 16 -</w:t>
      </w:r>
      <w:r>
        <w:fldChar w:fldCharType="end"/>
      </w:r>
      <w:r>
        <w:rPr>
          <w:rFonts w:hint="eastAsia" w:ascii="仿宋" w:hAnsi="仿宋" w:eastAsia="仿宋"/>
          <w:color w:val="auto"/>
          <w:szCs w:val="36"/>
        </w:rPr>
        <w:fldChar w:fldCharType="end"/>
      </w:r>
    </w:p>
    <w:p>
      <w:pPr>
        <w:pStyle w:val="5"/>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_Toc27930 </w:instrText>
      </w:r>
      <w:r>
        <w:rPr>
          <w:rFonts w:hint="eastAsia" w:ascii="仿宋" w:hAnsi="仿宋" w:eastAsia="仿宋"/>
          <w:szCs w:val="36"/>
        </w:rPr>
        <w:fldChar w:fldCharType="separate"/>
      </w:r>
      <w:r>
        <w:rPr>
          <w:rFonts w:hint="eastAsia"/>
          <w:lang w:val="en-US" w:eastAsia="zh-CN"/>
        </w:rPr>
        <w:t>3.5.5团组织建设及活动</w:t>
      </w:r>
      <w:r>
        <w:tab/>
      </w:r>
      <w:r>
        <w:fldChar w:fldCharType="begin"/>
      </w:r>
      <w:r>
        <w:instrText xml:space="preserve"> PAGEREF _Toc27930 \h </w:instrText>
      </w:r>
      <w:r>
        <w:fldChar w:fldCharType="separate"/>
      </w:r>
      <w:r>
        <w:t>- 17 -</w:t>
      </w:r>
      <w:r>
        <w:fldChar w:fldCharType="end"/>
      </w:r>
      <w:r>
        <w:rPr>
          <w:rFonts w:hint="eastAsia" w:ascii="仿宋" w:hAnsi="仿宋" w:eastAsia="仿宋"/>
          <w:color w:val="auto"/>
          <w:szCs w:val="36"/>
        </w:rPr>
        <w:fldChar w:fldCharType="end"/>
      </w:r>
    </w:p>
    <w:p>
      <w:pPr>
        <w:pStyle w:val="5"/>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_Toc18025 </w:instrText>
      </w:r>
      <w:r>
        <w:rPr>
          <w:rFonts w:hint="eastAsia" w:ascii="仿宋" w:hAnsi="仿宋" w:eastAsia="仿宋"/>
          <w:szCs w:val="36"/>
        </w:rPr>
        <w:fldChar w:fldCharType="separate"/>
      </w:r>
      <w:r>
        <w:rPr>
          <w:rFonts w:hint="eastAsia"/>
          <w:lang w:val="en-US" w:eastAsia="zh-CN"/>
        </w:rPr>
        <w:t>3.5.6学生会建设及活动</w:t>
      </w:r>
      <w:r>
        <w:tab/>
      </w:r>
      <w:r>
        <w:fldChar w:fldCharType="begin"/>
      </w:r>
      <w:r>
        <w:instrText xml:space="preserve"> PAGEREF _Toc18025 \h </w:instrText>
      </w:r>
      <w:r>
        <w:fldChar w:fldCharType="separate"/>
      </w:r>
      <w:r>
        <w:t>- 17 -</w:t>
      </w:r>
      <w:r>
        <w:fldChar w:fldCharType="end"/>
      </w:r>
      <w:r>
        <w:rPr>
          <w:rFonts w:hint="eastAsia" w:ascii="仿宋" w:hAnsi="仿宋" w:eastAsia="仿宋"/>
          <w:color w:val="auto"/>
          <w:szCs w:val="36"/>
        </w:rPr>
        <w:fldChar w:fldCharType="end"/>
      </w:r>
    </w:p>
    <w:p>
      <w:pPr>
        <w:pStyle w:val="9"/>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_Toc22648 </w:instrText>
      </w:r>
      <w:r>
        <w:rPr>
          <w:rFonts w:hint="eastAsia" w:ascii="仿宋" w:hAnsi="仿宋" w:eastAsia="仿宋"/>
          <w:szCs w:val="36"/>
        </w:rPr>
        <w:fldChar w:fldCharType="separate"/>
      </w:r>
      <w:r>
        <w:rPr>
          <w:rFonts w:hint="eastAsia"/>
        </w:rPr>
        <w:t>3.6党建情况</w:t>
      </w:r>
      <w:r>
        <w:tab/>
      </w:r>
      <w:r>
        <w:fldChar w:fldCharType="begin"/>
      </w:r>
      <w:r>
        <w:instrText xml:space="preserve"> PAGEREF _Toc22648 \h </w:instrText>
      </w:r>
      <w:r>
        <w:fldChar w:fldCharType="separate"/>
      </w:r>
      <w:r>
        <w:t>- 18 -</w:t>
      </w:r>
      <w:r>
        <w:fldChar w:fldCharType="end"/>
      </w:r>
      <w:r>
        <w:rPr>
          <w:rFonts w:hint="eastAsia" w:ascii="仿宋" w:hAnsi="仿宋" w:eastAsia="仿宋"/>
          <w:color w:val="auto"/>
          <w:szCs w:val="36"/>
        </w:rPr>
        <w:fldChar w:fldCharType="end"/>
      </w:r>
    </w:p>
    <w:p>
      <w:pPr>
        <w:pStyle w:val="8"/>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_Toc11035 </w:instrText>
      </w:r>
      <w:r>
        <w:rPr>
          <w:rFonts w:hint="eastAsia" w:ascii="仿宋" w:hAnsi="仿宋" w:eastAsia="仿宋"/>
          <w:szCs w:val="36"/>
        </w:rPr>
        <w:fldChar w:fldCharType="separate"/>
      </w:r>
      <w:r>
        <w:rPr>
          <w:rFonts w:hint="eastAsia"/>
          <w:lang w:val="en-US" w:eastAsia="zh-CN"/>
        </w:rPr>
        <w:t>4.</w:t>
      </w:r>
      <w:r>
        <w:rPr>
          <w:rFonts w:hint="eastAsia"/>
        </w:rPr>
        <w:t>校企合作</w:t>
      </w:r>
      <w:r>
        <w:tab/>
      </w:r>
      <w:r>
        <w:fldChar w:fldCharType="begin"/>
      </w:r>
      <w:r>
        <w:instrText xml:space="preserve"> PAGEREF _Toc11035 \h </w:instrText>
      </w:r>
      <w:r>
        <w:fldChar w:fldCharType="separate"/>
      </w:r>
      <w:r>
        <w:t>- 19 -</w:t>
      </w:r>
      <w:r>
        <w:fldChar w:fldCharType="end"/>
      </w:r>
      <w:r>
        <w:rPr>
          <w:rFonts w:hint="eastAsia" w:ascii="仿宋" w:hAnsi="仿宋" w:eastAsia="仿宋"/>
          <w:color w:val="auto"/>
          <w:szCs w:val="36"/>
        </w:rPr>
        <w:fldChar w:fldCharType="end"/>
      </w:r>
    </w:p>
    <w:p>
      <w:pPr>
        <w:pStyle w:val="9"/>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_Toc24749 </w:instrText>
      </w:r>
      <w:r>
        <w:rPr>
          <w:rFonts w:hint="eastAsia" w:ascii="仿宋" w:hAnsi="仿宋" w:eastAsia="仿宋"/>
          <w:szCs w:val="36"/>
        </w:rPr>
        <w:fldChar w:fldCharType="separate"/>
      </w:r>
      <w:r>
        <w:rPr>
          <w:rFonts w:hint="eastAsia"/>
        </w:rPr>
        <w:t>4.1校企合作开展情况和效果</w:t>
      </w:r>
      <w:r>
        <w:tab/>
      </w:r>
      <w:r>
        <w:fldChar w:fldCharType="begin"/>
      </w:r>
      <w:r>
        <w:instrText xml:space="preserve"> PAGEREF _Toc24749 \h </w:instrText>
      </w:r>
      <w:r>
        <w:fldChar w:fldCharType="separate"/>
      </w:r>
      <w:r>
        <w:t>- 19 -</w:t>
      </w:r>
      <w:r>
        <w:fldChar w:fldCharType="end"/>
      </w:r>
      <w:r>
        <w:rPr>
          <w:rFonts w:hint="eastAsia" w:ascii="仿宋" w:hAnsi="仿宋" w:eastAsia="仿宋"/>
          <w:color w:val="auto"/>
          <w:szCs w:val="36"/>
        </w:rPr>
        <w:fldChar w:fldCharType="end"/>
      </w:r>
    </w:p>
    <w:p>
      <w:pPr>
        <w:pStyle w:val="9"/>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_Toc8116 </w:instrText>
      </w:r>
      <w:r>
        <w:rPr>
          <w:rFonts w:hint="eastAsia" w:ascii="仿宋" w:hAnsi="仿宋" w:eastAsia="仿宋"/>
          <w:szCs w:val="36"/>
        </w:rPr>
        <w:fldChar w:fldCharType="separate"/>
      </w:r>
      <w:r>
        <w:rPr>
          <w:rFonts w:hint="eastAsia"/>
        </w:rPr>
        <w:t>4.2 学生实习情况</w:t>
      </w:r>
      <w:r>
        <w:tab/>
      </w:r>
      <w:r>
        <w:fldChar w:fldCharType="begin"/>
      </w:r>
      <w:r>
        <w:instrText xml:space="preserve"> PAGEREF _Toc8116 \h </w:instrText>
      </w:r>
      <w:r>
        <w:fldChar w:fldCharType="separate"/>
      </w:r>
      <w:r>
        <w:t>- 20 -</w:t>
      </w:r>
      <w:r>
        <w:fldChar w:fldCharType="end"/>
      </w:r>
      <w:r>
        <w:rPr>
          <w:rFonts w:hint="eastAsia" w:ascii="仿宋" w:hAnsi="仿宋" w:eastAsia="仿宋"/>
          <w:color w:val="auto"/>
          <w:szCs w:val="36"/>
        </w:rPr>
        <w:fldChar w:fldCharType="end"/>
      </w:r>
    </w:p>
    <w:p>
      <w:pPr>
        <w:pStyle w:val="9"/>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_Toc19164 </w:instrText>
      </w:r>
      <w:r>
        <w:rPr>
          <w:rFonts w:hint="eastAsia" w:ascii="仿宋" w:hAnsi="仿宋" w:eastAsia="仿宋"/>
          <w:szCs w:val="36"/>
        </w:rPr>
        <w:fldChar w:fldCharType="separate"/>
      </w:r>
      <w:r>
        <w:rPr>
          <w:rFonts w:hint="eastAsia"/>
          <w:lang w:val="en-US" w:eastAsia="zh-CN"/>
        </w:rPr>
        <w:t>4.3集团化办学情况</w:t>
      </w:r>
      <w:r>
        <w:tab/>
      </w:r>
      <w:r>
        <w:fldChar w:fldCharType="begin"/>
      </w:r>
      <w:r>
        <w:instrText xml:space="preserve"> PAGEREF _Toc19164 \h </w:instrText>
      </w:r>
      <w:r>
        <w:fldChar w:fldCharType="separate"/>
      </w:r>
      <w:r>
        <w:t>- 20 -</w:t>
      </w:r>
      <w:r>
        <w:fldChar w:fldCharType="end"/>
      </w:r>
      <w:r>
        <w:rPr>
          <w:rFonts w:hint="eastAsia" w:ascii="仿宋" w:hAnsi="仿宋" w:eastAsia="仿宋"/>
          <w:color w:val="auto"/>
          <w:szCs w:val="36"/>
        </w:rPr>
        <w:fldChar w:fldCharType="end"/>
      </w:r>
    </w:p>
    <w:p>
      <w:pPr>
        <w:pStyle w:val="8"/>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_Toc14938 </w:instrText>
      </w:r>
      <w:r>
        <w:rPr>
          <w:rFonts w:hint="eastAsia" w:ascii="仿宋" w:hAnsi="仿宋" w:eastAsia="仿宋"/>
          <w:szCs w:val="36"/>
        </w:rPr>
        <w:fldChar w:fldCharType="separate"/>
      </w:r>
      <w:r>
        <w:rPr>
          <w:rFonts w:hint="eastAsia"/>
          <w:lang w:val="en-US" w:eastAsia="zh-CN"/>
        </w:rPr>
        <w:t>5.</w:t>
      </w:r>
      <w:r>
        <w:rPr>
          <w:rFonts w:hint="eastAsia"/>
        </w:rPr>
        <w:t>社会贡献</w:t>
      </w:r>
      <w:r>
        <w:tab/>
      </w:r>
      <w:r>
        <w:fldChar w:fldCharType="begin"/>
      </w:r>
      <w:r>
        <w:instrText xml:space="preserve"> PAGEREF _Toc14938 \h </w:instrText>
      </w:r>
      <w:r>
        <w:fldChar w:fldCharType="separate"/>
      </w:r>
      <w:r>
        <w:t>- 20 -</w:t>
      </w:r>
      <w:r>
        <w:fldChar w:fldCharType="end"/>
      </w:r>
      <w:r>
        <w:rPr>
          <w:rFonts w:hint="eastAsia" w:ascii="仿宋" w:hAnsi="仿宋" w:eastAsia="仿宋"/>
          <w:color w:val="auto"/>
          <w:szCs w:val="36"/>
        </w:rPr>
        <w:fldChar w:fldCharType="end"/>
      </w:r>
    </w:p>
    <w:p>
      <w:pPr>
        <w:pStyle w:val="9"/>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_Toc23540 </w:instrText>
      </w:r>
      <w:r>
        <w:rPr>
          <w:rFonts w:hint="eastAsia" w:ascii="仿宋" w:hAnsi="仿宋" w:eastAsia="仿宋"/>
          <w:szCs w:val="36"/>
        </w:rPr>
        <w:fldChar w:fldCharType="separate"/>
      </w:r>
      <w:r>
        <w:rPr>
          <w:rFonts w:hint="eastAsia"/>
        </w:rPr>
        <w:t>5.1技术技能人才培养</w:t>
      </w:r>
      <w:r>
        <w:tab/>
      </w:r>
      <w:r>
        <w:fldChar w:fldCharType="begin"/>
      </w:r>
      <w:r>
        <w:instrText xml:space="preserve"> PAGEREF _Toc23540 \h </w:instrText>
      </w:r>
      <w:r>
        <w:fldChar w:fldCharType="separate"/>
      </w:r>
      <w:r>
        <w:t>- 20 -</w:t>
      </w:r>
      <w:r>
        <w:fldChar w:fldCharType="end"/>
      </w:r>
      <w:r>
        <w:rPr>
          <w:rFonts w:hint="eastAsia" w:ascii="仿宋" w:hAnsi="仿宋" w:eastAsia="仿宋"/>
          <w:color w:val="auto"/>
          <w:szCs w:val="36"/>
        </w:rPr>
        <w:fldChar w:fldCharType="end"/>
      </w:r>
    </w:p>
    <w:p>
      <w:pPr>
        <w:pStyle w:val="9"/>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_Toc7705 </w:instrText>
      </w:r>
      <w:r>
        <w:rPr>
          <w:rFonts w:hint="eastAsia" w:ascii="仿宋" w:hAnsi="仿宋" w:eastAsia="仿宋"/>
          <w:szCs w:val="36"/>
        </w:rPr>
        <w:fldChar w:fldCharType="separate"/>
      </w:r>
      <w:r>
        <w:rPr>
          <w:rFonts w:hint="eastAsia"/>
        </w:rPr>
        <w:t>5.2社会服务</w:t>
      </w:r>
      <w:r>
        <w:tab/>
      </w:r>
      <w:r>
        <w:fldChar w:fldCharType="begin"/>
      </w:r>
      <w:r>
        <w:instrText xml:space="preserve"> PAGEREF _Toc7705 \h </w:instrText>
      </w:r>
      <w:r>
        <w:fldChar w:fldCharType="separate"/>
      </w:r>
      <w:r>
        <w:t>- 21 -</w:t>
      </w:r>
      <w:r>
        <w:fldChar w:fldCharType="end"/>
      </w:r>
      <w:r>
        <w:rPr>
          <w:rFonts w:hint="eastAsia" w:ascii="仿宋" w:hAnsi="仿宋" w:eastAsia="仿宋"/>
          <w:color w:val="auto"/>
          <w:szCs w:val="36"/>
        </w:rPr>
        <w:fldChar w:fldCharType="end"/>
      </w:r>
    </w:p>
    <w:p>
      <w:pPr>
        <w:pStyle w:val="9"/>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_Toc24517 </w:instrText>
      </w:r>
      <w:r>
        <w:rPr>
          <w:rFonts w:hint="eastAsia" w:ascii="仿宋" w:hAnsi="仿宋" w:eastAsia="仿宋"/>
          <w:szCs w:val="36"/>
        </w:rPr>
        <w:fldChar w:fldCharType="separate"/>
      </w:r>
      <w:r>
        <w:rPr>
          <w:rFonts w:hint="eastAsia"/>
        </w:rPr>
        <w:t>5.3对口支援</w:t>
      </w:r>
      <w:r>
        <w:tab/>
      </w:r>
      <w:r>
        <w:fldChar w:fldCharType="begin"/>
      </w:r>
      <w:r>
        <w:instrText xml:space="preserve"> PAGEREF _Toc24517 \h </w:instrText>
      </w:r>
      <w:r>
        <w:fldChar w:fldCharType="separate"/>
      </w:r>
      <w:r>
        <w:t>- 21 -</w:t>
      </w:r>
      <w:r>
        <w:fldChar w:fldCharType="end"/>
      </w:r>
      <w:r>
        <w:rPr>
          <w:rFonts w:hint="eastAsia" w:ascii="仿宋" w:hAnsi="仿宋" w:eastAsia="仿宋"/>
          <w:color w:val="auto"/>
          <w:szCs w:val="36"/>
        </w:rPr>
        <w:fldChar w:fldCharType="end"/>
      </w:r>
    </w:p>
    <w:p>
      <w:pPr>
        <w:pStyle w:val="5"/>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_Toc9796 </w:instrText>
      </w:r>
      <w:r>
        <w:rPr>
          <w:rFonts w:hint="eastAsia" w:ascii="仿宋" w:hAnsi="仿宋" w:eastAsia="仿宋"/>
          <w:szCs w:val="36"/>
        </w:rPr>
        <w:fldChar w:fldCharType="separate"/>
      </w:r>
      <w:r>
        <w:rPr>
          <w:rFonts w:hint="eastAsia" w:ascii="Times New Roman" w:hAnsi="Times New Roman"/>
          <w:lang w:val="en-US" w:eastAsia="zh-CN"/>
        </w:rPr>
        <w:t>5.3.1对口扶贫</w:t>
      </w:r>
      <w:r>
        <w:tab/>
      </w:r>
      <w:r>
        <w:fldChar w:fldCharType="begin"/>
      </w:r>
      <w:r>
        <w:instrText xml:space="preserve"> PAGEREF _Toc9796 \h </w:instrText>
      </w:r>
      <w:r>
        <w:fldChar w:fldCharType="separate"/>
      </w:r>
      <w:r>
        <w:t>- 21 -</w:t>
      </w:r>
      <w:r>
        <w:fldChar w:fldCharType="end"/>
      </w:r>
      <w:r>
        <w:rPr>
          <w:rFonts w:hint="eastAsia" w:ascii="仿宋" w:hAnsi="仿宋" w:eastAsia="仿宋"/>
          <w:color w:val="auto"/>
          <w:szCs w:val="36"/>
        </w:rPr>
        <w:fldChar w:fldCharType="end"/>
      </w:r>
    </w:p>
    <w:p>
      <w:pPr>
        <w:pStyle w:val="9"/>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_Toc32431 </w:instrText>
      </w:r>
      <w:r>
        <w:rPr>
          <w:rFonts w:hint="eastAsia" w:ascii="仿宋" w:hAnsi="仿宋" w:eastAsia="仿宋"/>
          <w:szCs w:val="36"/>
        </w:rPr>
        <w:fldChar w:fldCharType="separate"/>
      </w:r>
      <w:r>
        <w:rPr>
          <w:rFonts w:hint="eastAsia"/>
          <w:lang w:val="en-US" w:eastAsia="zh-CN"/>
        </w:rPr>
        <w:t>5.4服务抗疫</w:t>
      </w:r>
      <w:r>
        <w:tab/>
      </w:r>
      <w:r>
        <w:fldChar w:fldCharType="begin"/>
      </w:r>
      <w:r>
        <w:instrText xml:space="preserve"> PAGEREF _Toc32431 \h </w:instrText>
      </w:r>
      <w:r>
        <w:fldChar w:fldCharType="separate"/>
      </w:r>
      <w:r>
        <w:t>- 22 -</w:t>
      </w:r>
      <w:r>
        <w:fldChar w:fldCharType="end"/>
      </w:r>
      <w:r>
        <w:rPr>
          <w:rFonts w:hint="eastAsia" w:ascii="仿宋" w:hAnsi="仿宋" w:eastAsia="仿宋"/>
          <w:color w:val="auto"/>
          <w:szCs w:val="36"/>
        </w:rPr>
        <w:fldChar w:fldCharType="end"/>
      </w:r>
    </w:p>
    <w:p>
      <w:pPr>
        <w:pStyle w:val="8"/>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_Toc3877 </w:instrText>
      </w:r>
      <w:r>
        <w:rPr>
          <w:rFonts w:hint="eastAsia" w:ascii="仿宋" w:hAnsi="仿宋" w:eastAsia="仿宋"/>
          <w:szCs w:val="36"/>
        </w:rPr>
        <w:fldChar w:fldCharType="separate"/>
      </w:r>
      <w:r>
        <w:rPr>
          <w:rFonts w:hint="eastAsia"/>
        </w:rPr>
        <w:t>6.举办者履责</w:t>
      </w:r>
      <w:r>
        <w:tab/>
      </w:r>
      <w:r>
        <w:fldChar w:fldCharType="begin"/>
      </w:r>
      <w:r>
        <w:instrText xml:space="preserve"> PAGEREF _Toc3877 \h </w:instrText>
      </w:r>
      <w:r>
        <w:fldChar w:fldCharType="separate"/>
      </w:r>
      <w:r>
        <w:t>- 22 -</w:t>
      </w:r>
      <w:r>
        <w:fldChar w:fldCharType="end"/>
      </w:r>
      <w:r>
        <w:rPr>
          <w:rFonts w:hint="eastAsia" w:ascii="仿宋" w:hAnsi="仿宋" w:eastAsia="仿宋"/>
          <w:color w:val="auto"/>
          <w:szCs w:val="36"/>
        </w:rPr>
        <w:fldChar w:fldCharType="end"/>
      </w:r>
    </w:p>
    <w:p>
      <w:pPr>
        <w:pStyle w:val="9"/>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_Toc30801 </w:instrText>
      </w:r>
      <w:r>
        <w:rPr>
          <w:rFonts w:hint="eastAsia" w:ascii="仿宋" w:hAnsi="仿宋" w:eastAsia="仿宋"/>
          <w:szCs w:val="36"/>
        </w:rPr>
        <w:fldChar w:fldCharType="separate"/>
      </w:r>
      <w:r>
        <w:rPr>
          <w:rFonts w:hint="eastAsia"/>
        </w:rPr>
        <w:t>6.1经费</w:t>
      </w:r>
      <w:r>
        <w:tab/>
      </w:r>
      <w:r>
        <w:fldChar w:fldCharType="begin"/>
      </w:r>
      <w:r>
        <w:instrText xml:space="preserve"> PAGEREF _Toc30801 \h </w:instrText>
      </w:r>
      <w:r>
        <w:fldChar w:fldCharType="separate"/>
      </w:r>
      <w:r>
        <w:t>- 22 -</w:t>
      </w:r>
      <w:r>
        <w:fldChar w:fldCharType="end"/>
      </w:r>
      <w:r>
        <w:rPr>
          <w:rFonts w:hint="eastAsia" w:ascii="仿宋" w:hAnsi="仿宋" w:eastAsia="仿宋"/>
          <w:color w:val="auto"/>
          <w:szCs w:val="36"/>
        </w:rPr>
        <w:fldChar w:fldCharType="end"/>
      </w:r>
    </w:p>
    <w:p>
      <w:pPr>
        <w:pStyle w:val="9"/>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_Toc30229 </w:instrText>
      </w:r>
      <w:r>
        <w:rPr>
          <w:rFonts w:hint="eastAsia" w:ascii="仿宋" w:hAnsi="仿宋" w:eastAsia="仿宋"/>
          <w:szCs w:val="36"/>
        </w:rPr>
        <w:fldChar w:fldCharType="separate"/>
      </w:r>
      <w:r>
        <w:rPr>
          <w:rFonts w:hint="eastAsia"/>
        </w:rPr>
        <w:t>6.2政策措施</w:t>
      </w:r>
      <w:r>
        <w:tab/>
      </w:r>
      <w:r>
        <w:fldChar w:fldCharType="begin"/>
      </w:r>
      <w:r>
        <w:instrText xml:space="preserve"> PAGEREF _Toc30229 \h </w:instrText>
      </w:r>
      <w:r>
        <w:fldChar w:fldCharType="separate"/>
      </w:r>
      <w:r>
        <w:t>- 22 -</w:t>
      </w:r>
      <w:r>
        <w:fldChar w:fldCharType="end"/>
      </w:r>
      <w:r>
        <w:rPr>
          <w:rFonts w:hint="eastAsia" w:ascii="仿宋" w:hAnsi="仿宋" w:eastAsia="仿宋"/>
          <w:color w:val="auto"/>
          <w:szCs w:val="36"/>
        </w:rPr>
        <w:fldChar w:fldCharType="end"/>
      </w:r>
    </w:p>
    <w:p>
      <w:pPr>
        <w:pStyle w:val="9"/>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_Toc30241 </w:instrText>
      </w:r>
      <w:r>
        <w:rPr>
          <w:rFonts w:hint="eastAsia" w:ascii="仿宋" w:hAnsi="仿宋" w:eastAsia="仿宋"/>
          <w:szCs w:val="36"/>
        </w:rPr>
        <w:fldChar w:fldCharType="separate"/>
      </w:r>
      <w:r>
        <w:rPr>
          <w:rFonts w:hint="eastAsia"/>
          <w:lang w:val="en-US" w:eastAsia="zh-CN"/>
        </w:rPr>
        <w:t>7.</w:t>
      </w:r>
      <w:r>
        <w:rPr>
          <w:rFonts w:hint="eastAsia"/>
        </w:rPr>
        <w:t>特色创新</w:t>
      </w:r>
      <w:r>
        <w:tab/>
      </w:r>
      <w:r>
        <w:fldChar w:fldCharType="begin"/>
      </w:r>
      <w:r>
        <w:instrText xml:space="preserve"> PAGEREF _Toc30241 \h </w:instrText>
      </w:r>
      <w:r>
        <w:fldChar w:fldCharType="separate"/>
      </w:r>
      <w:r>
        <w:t>- 22 -</w:t>
      </w:r>
      <w:r>
        <w:fldChar w:fldCharType="end"/>
      </w:r>
      <w:r>
        <w:rPr>
          <w:rFonts w:hint="eastAsia" w:ascii="仿宋" w:hAnsi="仿宋" w:eastAsia="仿宋"/>
          <w:color w:val="auto"/>
          <w:szCs w:val="36"/>
        </w:rPr>
        <w:fldChar w:fldCharType="end"/>
      </w:r>
    </w:p>
    <w:p>
      <w:pPr>
        <w:pStyle w:val="9"/>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_Toc23137 </w:instrText>
      </w:r>
      <w:r>
        <w:rPr>
          <w:rFonts w:hint="eastAsia" w:ascii="仿宋" w:hAnsi="仿宋" w:eastAsia="仿宋"/>
          <w:szCs w:val="36"/>
        </w:rPr>
        <w:fldChar w:fldCharType="separate"/>
      </w:r>
      <w:r>
        <w:rPr>
          <w:rFonts w:hint="eastAsia"/>
          <w:lang w:val="en-US" w:eastAsia="zh-CN"/>
        </w:rPr>
        <w:t>案例1：</w:t>
      </w:r>
      <w:r>
        <w:rPr>
          <w:rFonts w:hint="eastAsia"/>
        </w:rPr>
        <w:t>人人学读本，思政入课堂</w:t>
      </w:r>
      <w:r>
        <w:tab/>
      </w:r>
      <w:r>
        <w:fldChar w:fldCharType="begin"/>
      </w:r>
      <w:r>
        <w:instrText xml:space="preserve"> PAGEREF _Toc23137 \h </w:instrText>
      </w:r>
      <w:r>
        <w:fldChar w:fldCharType="separate"/>
      </w:r>
      <w:r>
        <w:t>- 22 -</w:t>
      </w:r>
      <w:r>
        <w:fldChar w:fldCharType="end"/>
      </w:r>
      <w:r>
        <w:rPr>
          <w:rFonts w:hint="eastAsia" w:ascii="仿宋" w:hAnsi="仿宋" w:eastAsia="仿宋"/>
          <w:color w:val="auto"/>
          <w:szCs w:val="36"/>
        </w:rPr>
        <w:fldChar w:fldCharType="end"/>
      </w:r>
    </w:p>
    <w:p>
      <w:pPr>
        <w:pStyle w:val="9"/>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_Toc20262 </w:instrText>
      </w:r>
      <w:r>
        <w:rPr>
          <w:rFonts w:hint="eastAsia" w:ascii="仿宋" w:hAnsi="仿宋" w:eastAsia="仿宋"/>
          <w:szCs w:val="36"/>
        </w:rPr>
        <w:fldChar w:fldCharType="separate"/>
      </w:r>
      <w:r>
        <w:rPr>
          <w:rFonts w:hint="eastAsia"/>
          <w:lang w:val="en-US" w:eastAsia="zh-CN"/>
        </w:rPr>
        <w:t>案例2：洪水无情 一职有爱</w:t>
      </w:r>
      <w:r>
        <w:tab/>
      </w:r>
      <w:r>
        <w:fldChar w:fldCharType="begin"/>
      </w:r>
      <w:r>
        <w:instrText xml:space="preserve"> PAGEREF _Toc20262 \h </w:instrText>
      </w:r>
      <w:r>
        <w:fldChar w:fldCharType="separate"/>
      </w:r>
      <w:r>
        <w:t>- 23 -</w:t>
      </w:r>
      <w:r>
        <w:fldChar w:fldCharType="end"/>
      </w:r>
      <w:r>
        <w:rPr>
          <w:rFonts w:hint="eastAsia" w:ascii="仿宋" w:hAnsi="仿宋" w:eastAsia="仿宋"/>
          <w:color w:val="auto"/>
          <w:szCs w:val="36"/>
        </w:rPr>
        <w:fldChar w:fldCharType="end"/>
      </w:r>
    </w:p>
    <w:p>
      <w:pPr>
        <w:pStyle w:val="8"/>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_Toc24634 </w:instrText>
      </w:r>
      <w:r>
        <w:rPr>
          <w:rFonts w:hint="eastAsia" w:ascii="仿宋" w:hAnsi="仿宋" w:eastAsia="仿宋"/>
          <w:szCs w:val="36"/>
        </w:rPr>
        <w:fldChar w:fldCharType="separate"/>
      </w:r>
      <w:r>
        <w:rPr>
          <w:rFonts w:hint="eastAsia"/>
        </w:rPr>
        <w:t>8.主要问题和改进措施</w:t>
      </w:r>
      <w:r>
        <w:tab/>
      </w:r>
      <w:r>
        <w:fldChar w:fldCharType="begin"/>
      </w:r>
      <w:r>
        <w:instrText xml:space="preserve"> PAGEREF _Toc24634 \h </w:instrText>
      </w:r>
      <w:r>
        <w:fldChar w:fldCharType="separate"/>
      </w:r>
      <w:r>
        <w:t>- 25 -</w:t>
      </w:r>
      <w:r>
        <w:fldChar w:fldCharType="end"/>
      </w:r>
      <w:r>
        <w:rPr>
          <w:rFonts w:hint="eastAsia" w:ascii="仿宋" w:hAnsi="仿宋" w:eastAsia="仿宋"/>
          <w:color w:val="auto"/>
          <w:szCs w:val="36"/>
        </w:rPr>
        <w:fldChar w:fldCharType="end"/>
      </w:r>
    </w:p>
    <w:p>
      <w:pPr>
        <w:pStyle w:val="9"/>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_Toc8964 </w:instrText>
      </w:r>
      <w:r>
        <w:rPr>
          <w:rFonts w:hint="eastAsia" w:ascii="仿宋" w:hAnsi="仿宋" w:eastAsia="仿宋"/>
          <w:szCs w:val="36"/>
        </w:rPr>
        <w:fldChar w:fldCharType="separate"/>
      </w:r>
      <w:r>
        <w:rPr>
          <w:rFonts w:hint="eastAsia"/>
        </w:rPr>
        <w:t>8.1主要问题</w:t>
      </w:r>
      <w:r>
        <w:tab/>
      </w:r>
      <w:r>
        <w:fldChar w:fldCharType="begin"/>
      </w:r>
      <w:r>
        <w:instrText xml:space="preserve"> PAGEREF _Toc8964 \h </w:instrText>
      </w:r>
      <w:r>
        <w:fldChar w:fldCharType="separate"/>
      </w:r>
      <w:r>
        <w:t>- 25 -</w:t>
      </w:r>
      <w:r>
        <w:fldChar w:fldCharType="end"/>
      </w:r>
      <w:r>
        <w:rPr>
          <w:rFonts w:hint="eastAsia" w:ascii="仿宋" w:hAnsi="仿宋" w:eastAsia="仿宋"/>
          <w:color w:val="auto"/>
          <w:szCs w:val="36"/>
        </w:rPr>
        <w:fldChar w:fldCharType="end"/>
      </w:r>
    </w:p>
    <w:p>
      <w:pPr>
        <w:pStyle w:val="9"/>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_Toc27653 </w:instrText>
      </w:r>
      <w:r>
        <w:rPr>
          <w:rFonts w:hint="eastAsia" w:ascii="仿宋" w:hAnsi="仿宋" w:eastAsia="仿宋"/>
          <w:szCs w:val="36"/>
        </w:rPr>
        <w:fldChar w:fldCharType="separate"/>
      </w:r>
      <w:r>
        <w:rPr>
          <w:rFonts w:hint="eastAsia"/>
        </w:rPr>
        <w:t>8.2改进措施</w:t>
      </w:r>
      <w:r>
        <w:tab/>
      </w:r>
      <w:r>
        <w:fldChar w:fldCharType="begin"/>
      </w:r>
      <w:r>
        <w:instrText xml:space="preserve"> PAGEREF _Toc27653 \h </w:instrText>
      </w:r>
      <w:r>
        <w:fldChar w:fldCharType="separate"/>
      </w:r>
      <w:r>
        <w:t>- 25 -</w:t>
      </w:r>
      <w:r>
        <w:fldChar w:fldCharType="end"/>
      </w:r>
      <w:r>
        <w:rPr>
          <w:rFonts w:hint="eastAsia" w:ascii="仿宋" w:hAnsi="仿宋" w:eastAsia="仿宋"/>
          <w:color w:val="auto"/>
          <w:szCs w:val="36"/>
        </w:rPr>
        <w:fldChar w:fldCharType="end"/>
      </w:r>
    </w:p>
    <w:p>
      <w:pPr>
        <w:pStyle w:val="8"/>
        <w:tabs>
          <w:tab w:val="right" w:leader="dot" w:pos="8528"/>
        </w:tabs>
      </w:pPr>
      <w:r>
        <w:rPr>
          <w:rFonts w:hint="eastAsia" w:ascii="仿宋" w:hAnsi="仿宋" w:eastAsia="仿宋"/>
          <w:color w:val="auto"/>
          <w:szCs w:val="36"/>
        </w:rPr>
        <w:fldChar w:fldCharType="begin"/>
      </w:r>
      <w:r>
        <w:rPr>
          <w:rFonts w:hint="eastAsia" w:ascii="仿宋" w:hAnsi="仿宋" w:eastAsia="仿宋"/>
          <w:szCs w:val="36"/>
        </w:rPr>
        <w:instrText xml:space="preserve"> HYPERLINK \l _Toc17048 </w:instrText>
      </w:r>
      <w:r>
        <w:rPr>
          <w:rFonts w:hint="eastAsia" w:ascii="仿宋" w:hAnsi="仿宋" w:eastAsia="仿宋"/>
          <w:szCs w:val="36"/>
        </w:rPr>
        <w:fldChar w:fldCharType="separate"/>
      </w:r>
      <w:r>
        <w:rPr>
          <w:rFonts w:hint="eastAsia"/>
          <w:lang w:val="en-US" w:eastAsia="zh-CN"/>
        </w:rPr>
        <w:t>9.其他</w:t>
      </w:r>
      <w:r>
        <w:tab/>
      </w:r>
      <w:r>
        <w:fldChar w:fldCharType="begin"/>
      </w:r>
      <w:r>
        <w:instrText xml:space="preserve"> PAGEREF _Toc17048 \h </w:instrText>
      </w:r>
      <w:r>
        <w:fldChar w:fldCharType="separate"/>
      </w:r>
      <w:r>
        <w:t>- 26 -</w:t>
      </w:r>
      <w:r>
        <w:fldChar w:fldCharType="end"/>
      </w:r>
      <w:r>
        <w:rPr>
          <w:rFonts w:hint="eastAsia" w:ascii="仿宋" w:hAnsi="仿宋" w:eastAsia="仿宋"/>
          <w:color w:val="auto"/>
          <w:szCs w:val="36"/>
        </w:rPr>
        <w:fldChar w:fldCharType="end"/>
      </w:r>
    </w:p>
    <w:p>
      <w:pPr>
        <w:snapToGrid w:val="0"/>
        <w:spacing w:line="560" w:lineRule="exact"/>
        <w:jc w:val="center"/>
        <w:rPr>
          <w:rFonts w:hint="eastAsia" w:ascii="仿宋" w:hAnsi="仿宋" w:eastAsia="仿宋"/>
          <w:color w:val="auto"/>
          <w:sz w:val="36"/>
          <w:szCs w:val="36"/>
        </w:rPr>
      </w:pPr>
      <w:r>
        <w:rPr>
          <w:rFonts w:hint="eastAsia" w:ascii="仿宋" w:hAnsi="仿宋" w:eastAsia="仿宋"/>
          <w:color w:val="auto"/>
          <w:szCs w:val="36"/>
        </w:rPr>
        <w:fldChar w:fldCharType="end"/>
      </w:r>
    </w:p>
    <w:p>
      <w:pPr>
        <w:snapToGrid w:val="0"/>
        <w:jc w:val="center"/>
        <w:rPr>
          <w:rFonts w:hint="eastAsia" w:ascii="仿宋" w:hAnsi="仿宋" w:eastAsia="仿宋"/>
          <w:color w:val="auto"/>
          <w:sz w:val="36"/>
          <w:szCs w:val="36"/>
        </w:rPr>
      </w:pPr>
      <w:bookmarkStart w:id="129" w:name="_GoBack"/>
      <w:bookmarkEnd w:id="129"/>
    </w:p>
    <w:p>
      <w:pPr>
        <w:tabs>
          <w:tab w:val="center" w:pos="4264"/>
        </w:tabs>
        <w:jc w:val="left"/>
        <w:rPr>
          <w:rFonts w:hint="eastAsia" w:ascii="仿宋" w:hAnsi="仿宋" w:eastAsia="仿宋"/>
          <w:color w:val="auto"/>
          <w:sz w:val="36"/>
          <w:szCs w:val="36"/>
        </w:rPr>
        <w:sectPr>
          <w:footerReference r:id="rId4" w:type="default"/>
          <w:pgSz w:w="11906" w:h="16838"/>
          <w:pgMar w:top="1043" w:right="1689" w:bottom="1043" w:left="1689" w:header="851" w:footer="992" w:gutter="0"/>
          <w:pgNumType w:fmt="upperRoman" w:start="1"/>
          <w:cols w:space="720" w:num="1"/>
          <w:docGrid w:type="lines" w:linePitch="312" w:charSpace="0"/>
        </w:sectPr>
      </w:pPr>
      <w:r>
        <w:rPr>
          <w:rFonts w:hint="eastAsia" w:ascii="仿宋" w:hAnsi="仿宋" w:eastAsia="仿宋"/>
          <w:color w:val="auto"/>
          <w:sz w:val="36"/>
          <w:szCs w:val="36"/>
        </w:rPr>
        <w:tab/>
      </w:r>
    </w:p>
    <w:p>
      <w:pPr>
        <w:snapToGrid w:val="0"/>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辉县市第一职业中等专业学校</w:t>
      </w:r>
    </w:p>
    <w:p>
      <w:pPr>
        <w:snapToGrid w:val="0"/>
        <w:jc w:val="center"/>
        <w:rPr>
          <w:rFonts w:hint="eastAsia" w:ascii="仿宋" w:hAnsi="仿宋" w:eastAsia="仿宋"/>
          <w:b/>
          <w:color w:val="auto"/>
          <w:sz w:val="44"/>
          <w:szCs w:val="44"/>
        </w:rPr>
      </w:pPr>
      <w:r>
        <w:rPr>
          <w:rFonts w:hint="eastAsia" w:ascii="方正小标宋简体" w:hAnsi="方正小标宋简体" w:eastAsia="方正小标宋简体" w:cs="方正小标宋简体"/>
          <w:bCs/>
          <w:color w:val="auto"/>
          <w:sz w:val="44"/>
          <w:szCs w:val="44"/>
        </w:rPr>
        <w:t>质量年度报告（20</w:t>
      </w:r>
      <w:r>
        <w:rPr>
          <w:rFonts w:hint="eastAsia" w:ascii="方正小标宋简体" w:hAnsi="方正小标宋简体" w:eastAsia="方正小标宋简体" w:cs="方正小标宋简体"/>
          <w:bCs/>
          <w:color w:val="auto"/>
          <w:sz w:val="44"/>
          <w:szCs w:val="44"/>
          <w:lang w:val="en-US" w:eastAsia="zh-CN"/>
        </w:rPr>
        <w:t>22</w:t>
      </w:r>
      <w:r>
        <w:rPr>
          <w:rFonts w:hint="eastAsia" w:ascii="方正小标宋简体" w:hAnsi="方正小标宋简体" w:eastAsia="方正小标宋简体" w:cs="方正小标宋简体"/>
          <w:bCs/>
          <w:color w:val="auto"/>
          <w:sz w:val="44"/>
          <w:szCs w:val="44"/>
        </w:rPr>
        <w:t>年）</w:t>
      </w:r>
    </w:p>
    <w:p>
      <w:pPr>
        <w:pStyle w:val="2"/>
        <w:bidi w:val="0"/>
        <w:rPr>
          <w:rFonts w:hint="eastAsia"/>
        </w:rPr>
      </w:pPr>
      <w:bookmarkStart w:id="1" w:name="_Toc25155"/>
      <w:bookmarkStart w:id="2" w:name="_Toc27106"/>
      <w:r>
        <w:rPr>
          <w:rFonts w:hint="eastAsia"/>
        </w:rPr>
        <w:t>1.学校情况</w:t>
      </w:r>
      <w:bookmarkEnd w:id="1"/>
      <w:bookmarkEnd w:id="2"/>
    </w:p>
    <w:p>
      <w:pPr>
        <w:pStyle w:val="3"/>
        <w:bidi w:val="0"/>
        <w:rPr>
          <w:rFonts w:hint="eastAsia"/>
        </w:rPr>
      </w:pPr>
      <w:bookmarkStart w:id="3" w:name="_Toc6907"/>
      <w:bookmarkStart w:id="4" w:name="_Toc1405"/>
      <w:r>
        <w:rPr>
          <w:rFonts w:hint="eastAsia"/>
        </w:rPr>
        <w:t>1.1学校概况</w:t>
      </w:r>
      <w:bookmarkEnd w:id="3"/>
      <w:bookmarkEnd w:id="4"/>
    </w:p>
    <w:p>
      <w:pPr>
        <w:spacing w:line="560" w:lineRule="exact"/>
        <w:ind w:firstLine="640" w:firstLineChars="200"/>
        <w:rPr>
          <w:rFonts w:hint="eastAsia" w:ascii="仿宋_GB2312" w:hAnsi="仿宋_GB2312" w:cs="仿宋_GB2312"/>
          <w:color w:val="auto"/>
          <w:sz w:val="32"/>
          <w:szCs w:val="32"/>
        </w:rPr>
      </w:pPr>
      <w:r>
        <w:rPr>
          <w:rFonts w:hint="eastAsia" w:ascii="仿宋_GB2312" w:hAnsi="仿宋_GB2312" w:cs="仿宋_GB2312"/>
          <w:color w:val="auto"/>
          <w:sz w:val="32"/>
          <w:szCs w:val="32"/>
        </w:rPr>
        <w:t>辉县市第一职业中等专业学校（原名抗大中学），是辉县市人民政府主办的公办中等职业学校，于1969年建校，</w:t>
      </w:r>
      <w:r>
        <w:rPr>
          <w:rFonts w:hint="eastAsia" w:ascii="仿宋_GB2312" w:hAnsi="仿宋_GB2312" w:cs="仿宋_GB2312"/>
          <w:color w:val="auto"/>
          <w:sz w:val="32"/>
          <w:szCs w:val="32"/>
          <w:lang w:val="en-US" w:eastAsia="zh-CN"/>
        </w:rPr>
        <w:t>系教育部认定的国防教育示范学校，省教育厅认定的省级重点职业学校、省级示范性社区学院、省级劳动教育特色学校，历经抗大师资学校、辉县一中、抗大农业中学、辉县市第一职业高级中学及第一成人教育学校等重要历史时期。</w:t>
      </w:r>
      <w:r>
        <w:rPr>
          <w:rFonts w:hint="eastAsia" w:ascii="仿宋_GB2312" w:hAnsi="仿宋_GB2312" w:cs="仿宋_GB2312"/>
          <w:color w:val="auto"/>
          <w:sz w:val="32"/>
          <w:szCs w:val="32"/>
        </w:rPr>
        <w:t>学校位于风景秀丽、环境宜人的太行山南麓，石门河畔</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北临新晋高速</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沿南太行</w:t>
      </w:r>
      <w:r>
        <w:rPr>
          <w:rFonts w:hint="eastAsia" w:ascii="仿宋_GB2312" w:hAnsi="仿宋_GB2312" w:cs="仿宋_GB2312"/>
          <w:color w:val="auto"/>
          <w:sz w:val="32"/>
          <w:szCs w:val="32"/>
        </w:rPr>
        <w:t>高速。学校占地</w:t>
      </w:r>
      <w:r>
        <w:rPr>
          <w:rFonts w:hint="eastAsia" w:ascii="仿宋_GB2312" w:hAnsi="仿宋_GB2312" w:cs="仿宋_GB2312"/>
          <w:color w:val="auto"/>
          <w:sz w:val="32"/>
          <w:szCs w:val="32"/>
          <w:lang w:val="en-US" w:eastAsia="zh-CN"/>
        </w:rPr>
        <w:t>623810平方米</w:t>
      </w:r>
      <w:r>
        <w:rPr>
          <w:rFonts w:hint="eastAsia" w:ascii="仿宋_GB2312" w:hAnsi="仿宋_GB2312" w:cs="仿宋_GB2312"/>
          <w:color w:val="auto"/>
          <w:sz w:val="32"/>
          <w:szCs w:val="32"/>
        </w:rPr>
        <w:t>，校舍建筑面积</w:t>
      </w:r>
      <w:r>
        <w:rPr>
          <w:rFonts w:hint="eastAsia" w:ascii="仿宋_GB2312" w:hAnsi="仿宋_GB2312" w:cs="仿宋_GB2312"/>
          <w:color w:val="auto"/>
          <w:sz w:val="32"/>
          <w:szCs w:val="32"/>
          <w:lang w:val="en-US" w:eastAsia="zh-CN"/>
        </w:rPr>
        <w:t>40816</w:t>
      </w:r>
      <w:r>
        <w:rPr>
          <w:rFonts w:hint="eastAsia" w:ascii="仿宋_GB2312" w:hAnsi="仿宋_GB2312" w:cs="仿宋_GB2312"/>
          <w:color w:val="auto"/>
          <w:sz w:val="32"/>
          <w:szCs w:val="32"/>
        </w:rPr>
        <w:t>平方米</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固定资产</w:t>
      </w:r>
      <w:r>
        <w:rPr>
          <w:rFonts w:hint="eastAsia" w:ascii="仿宋_GB2312" w:hAnsi="仿宋_GB2312" w:cs="仿宋_GB2312"/>
          <w:color w:val="auto"/>
          <w:sz w:val="32"/>
          <w:szCs w:val="32"/>
          <w:lang w:val="en-US" w:eastAsia="zh-CN"/>
        </w:rPr>
        <w:t>3294</w:t>
      </w:r>
      <w:r>
        <w:rPr>
          <w:rFonts w:hint="eastAsia" w:ascii="仿宋_GB2312" w:hAnsi="仿宋_GB2312" w:cs="仿宋_GB2312"/>
          <w:color w:val="auto"/>
          <w:sz w:val="32"/>
          <w:szCs w:val="32"/>
        </w:rPr>
        <w:t>万元，</w:t>
      </w:r>
      <w:r>
        <w:rPr>
          <w:rFonts w:hint="eastAsia" w:ascii="仿宋_GB2312" w:hAnsi="仿宋_GB2312" w:cs="仿宋_GB2312"/>
          <w:color w:val="auto"/>
          <w:sz w:val="32"/>
          <w:szCs w:val="32"/>
          <w:lang w:val="en-US" w:eastAsia="zh-CN"/>
        </w:rPr>
        <w:t>其中</w:t>
      </w:r>
      <w:r>
        <w:rPr>
          <w:rFonts w:hint="eastAsia" w:ascii="仿宋_GB2312" w:hAnsi="仿宋_GB2312" w:cs="仿宋_GB2312"/>
          <w:color w:val="auto"/>
          <w:sz w:val="32"/>
          <w:szCs w:val="32"/>
        </w:rPr>
        <w:t>教学科研实习仪器设备资产值</w:t>
      </w:r>
      <w:r>
        <w:rPr>
          <w:rFonts w:hint="eastAsia" w:ascii="仿宋_GB2312" w:hAnsi="仿宋_GB2312" w:cs="仿宋_GB2312"/>
          <w:color w:val="auto"/>
          <w:sz w:val="32"/>
          <w:szCs w:val="32"/>
          <w:lang w:val="en-US" w:eastAsia="zh-CN"/>
        </w:rPr>
        <w:t>487万元</w:t>
      </w:r>
      <w:r>
        <w:rPr>
          <w:rFonts w:hint="eastAsia" w:ascii="仿宋_GB2312" w:hAnsi="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ascii="仿宋_GB2312" w:hAnsi="仿宋_GB2312" w:cs="仿宋_GB2312"/>
          <w:color w:val="auto"/>
          <w:sz w:val="32"/>
          <w:szCs w:val="32"/>
        </w:rPr>
      </w:pPr>
      <w:r>
        <w:rPr>
          <w:rFonts w:hint="eastAsia" w:ascii="仿宋_GB2312" w:hAnsi="仿宋_GB2312" w:cs="仿宋_GB2312"/>
          <w:color w:val="auto"/>
          <w:sz w:val="32"/>
          <w:szCs w:val="32"/>
        </w:rPr>
        <w:t>学校</w:t>
      </w:r>
      <w:r>
        <w:rPr>
          <w:rFonts w:hint="eastAsia" w:ascii="仿宋_GB2312" w:hAnsi="仿宋_GB2312" w:cs="仿宋_GB2312"/>
          <w:color w:val="auto"/>
          <w:sz w:val="32"/>
          <w:szCs w:val="32"/>
          <w:lang w:eastAsia="zh-CN"/>
        </w:rPr>
        <w:t>高举抗大精神的旗帜，以“</w:t>
      </w:r>
      <w:r>
        <w:rPr>
          <w:rFonts w:hint="eastAsia" w:ascii="仿宋_GB2312" w:hAnsi="仿宋_GB2312" w:cs="仿宋_GB2312"/>
          <w:color w:val="auto"/>
          <w:sz w:val="32"/>
          <w:szCs w:val="32"/>
        </w:rPr>
        <w:t>升学有希望</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就业有本领</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发展有基础</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创业有潜能</w:t>
      </w:r>
      <w:r>
        <w:rPr>
          <w:rFonts w:hint="eastAsia" w:ascii="仿宋_GB2312" w:hAnsi="仿宋_GB2312" w:cs="仿宋_GB2312"/>
          <w:color w:val="auto"/>
          <w:sz w:val="32"/>
          <w:szCs w:val="32"/>
          <w:lang w:eastAsia="zh-CN"/>
        </w:rPr>
        <w:t>”为办学思路，</w:t>
      </w:r>
      <w:r>
        <w:rPr>
          <w:rFonts w:hint="eastAsia" w:ascii="仿宋_GB2312" w:hAnsi="仿宋_GB2312" w:cs="仿宋_GB2312"/>
          <w:color w:val="auto"/>
          <w:sz w:val="32"/>
          <w:szCs w:val="32"/>
        </w:rPr>
        <w:t>以“三风一训一引领”为办学特色</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坚持“立德树人，以质求存，改革发展，助推当地经济</w:t>
      </w:r>
      <w:r>
        <w:rPr>
          <w:rFonts w:hint="eastAsia" w:ascii="仿宋_GB2312" w:hAnsi="仿宋_GB2312" w:cs="仿宋_GB2312"/>
          <w:color w:val="auto"/>
          <w:sz w:val="32"/>
          <w:szCs w:val="32"/>
          <w:lang w:eastAsia="zh-CN"/>
        </w:rPr>
        <w:t>发展</w:t>
      </w:r>
      <w:r>
        <w:rPr>
          <w:rFonts w:hint="eastAsia" w:ascii="仿宋_GB2312" w:hAnsi="仿宋_GB2312" w:cs="仿宋_GB2312"/>
          <w:color w:val="auto"/>
          <w:sz w:val="32"/>
          <w:szCs w:val="32"/>
        </w:rPr>
        <w:t>”的办学理念，</w:t>
      </w:r>
      <w:r>
        <w:rPr>
          <w:rFonts w:hint="eastAsia" w:ascii="仿宋_GB2312" w:hAnsi="仿宋_GB2312" w:cs="仿宋_GB2312"/>
          <w:color w:val="auto"/>
          <w:sz w:val="32"/>
          <w:szCs w:val="32"/>
          <w:lang w:eastAsia="zh-CN"/>
        </w:rPr>
        <w:t>创建</w:t>
      </w:r>
      <w:r>
        <w:rPr>
          <w:rFonts w:hint="eastAsia" w:ascii="仿宋_GB2312" w:hAnsi="仿宋_GB2312" w:cs="仿宋_GB2312"/>
          <w:color w:val="auto"/>
          <w:sz w:val="32"/>
          <w:szCs w:val="32"/>
        </w:rPr>
        <w:t>以中职教育为主体</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以社区教育、中小学生综合素质教育为两翼的“一体两翼”办学模式</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中职教育</w:t>
      </w:r>
      <w:r>
        <w:rPr>
          <w:rFonts w:hint="eastAsia" w:ascii="仿宋_GB2312" w:hAnsi="仿宋_GB2312" w:cs="仿宋_GB2312"/>
          <w:color w:val="auto"/>
          <w:sz w:val="32"/>
          <w:szCs w:val="32"/>
          <w:lang w:val="en-US" w:eastAsia="zh-CN"/>
        </w:rPr>
        <w:t>坚持升学和就业为宗旨，</w:t>
      </w:r>
      <w:r>
        <w:rPr>
          <w:rFonts w:hint="eastAsia" w:ascii="仿宋_GB2312" w:hAnsi="仿宋_GB2312" w:cs="仿宋_GB2312"/>
          <w:color w:val="auto"/>
          <w:sz w:val="32"/>
          <w:szCs w:val="32"/>
        </w:rPr>
        <w:t>每年对口本科升学率稳居新乡市前列，一大批毕业生已成为社会经济建设的中坚力量</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中职教育现开设</w:t>
      </w:r>
      <w:r>
        <w:rPr>
          <w:rFonts w:hint="eastAsia" w:ascii="仿宋_GB2312" w:hAnsi="仿宋_GB2312" w:cs="仿宋_GB2312"/>
          <w:color w:val="auto"/>
          <w:sz w:val="32"/>
          <w:szCs w:val="32"/>
          <w:lang w:val="en-US" w:eastAsia="zh-CN"/>
        </w:rPr>
        <w:t>作物生产技术、园林技术、畜禽生产技术、宠物养护与经营、计算机应用、计算机平面设计、动漫游戏与制作、汽车运用与维修、汽车美容与装潢、光电仪器制造与维修、休闲体育服务与管理等七大类十一个专业</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val="en-US" w:eastAsia="zh-CN"/>
        </w:rPr>
        <w:t>一翼之中小学生综合素质教育实践</w:t>
      </w:r>
      <w:r>
        <w:rPr>
          <w:rFonts w:hint="eastAsia" w:ascii="仿宋_GB2312" w:hAnsi="仿宋_GB2312" w:cs="仿宋_GB2312"/>
          <w:color w:val="auto"/>
          <w:sz w:val="32"/>
          <w:szCs w:val="32"/>
          <w:lang w:eastAsia="zh-CN"/>
        </w:rPr>
        <w:t>以遵循“延伸学校教育、衔接社会教育、实践素质教育、培养全面人才”为宗旨；坚持以“让学生经历一次体验、感受一次成功、尝试一次创新、学习一项技能”为理念；以让学生“在实践中获得技能、在活动中感受快乐、在锻炼中磨练意志、在研学中增长见识”为目标，着重培养中小学生实践能力、团队意识和创新精神。课程设置突出军事体验、动手实践、生命教育、拓展训练、研学旅行五大主题，同时结合内务整理、野外拉练、才艺比拼、感恩课堂等专题教育活动，使青少年学生“学有所获、动有所得、行有所知”；</w:t>
      </w:r>
      <w:r>
        <w:rPr>
          <w:rFonts w:hint="eastAsia" w:ascii="仿宋_GB2312" w:hAnsi="仿宋_GB2312" w:cs="仿宋_GB2312"/>
          <w:color w:val="auto"/>
          <w:sz w:val="32"/>
          <w:szCs w:val="32"/>
          <w:lang w:val="en-US" w:eastAsia="zh-CN"/>
        </w:rPr>
        <w:t>一翼之社区教育以培养新型职业农民</w:t>
      </w:r>
      <w:r>
        <w:rPr>
          <w:rFonts w:hint="eastAsia" w:ascii="仿宋_GB2312" w:hAnsi="仿宋_GB2312" w:cs="仿宋_GB2312"/>
          <w:color w:val="auto"/>
          <w:sz w:val="32"/>
          <w:szCs w:val="32"/>
          <w:highlight w:val="none"/>
          <w:lang w:val="en-US" w:eastAsia="zh-CN"/>
        </w:rPr>
        <w:t>为己任</w:t>
      </w:r>
      <w:r>
        <w:rPr>
          <w:rFonts w:hint="eastAsia" w:ascii="仿宋_GB2312" w:hAnsi="仿宋_GB2312" w:cs="仿宋_GB2312"/>
          <w:color w:val="auto"/>
          <w:sz w:val="32"/>
          <w:szCs w:val="32"/>
          <w:lang w:val="en-US" w:eastAsia="zh-CN"/>
        </w:rPr>
        <w:t>，建立公益性培养机制。推进社区学院工程建设，创新社区教育模式，以精准扶贫为抓手，积极开展以现代农艺、养殖实用技术、汽车类、计算机类培训为主的社区教育，重点加强农民工、农民工子女和社区转岗就业人员的职业教育和技能提升培训，引导社区剩余劳动力向城镇和非农产业有序转移。</w:t>
      </w:r>
    </w:p>
    <w:p>
      <w:pPr>
        <w:spacing w:line="560" w:lineRule="exact"/>
        <w:ind w:firstLine="600"/>
        <w:rPr>
          <w:rFonts w:hint="eastAsia" w:ascii="仿宋_GB2312" w:hAnsi="仿宋_GB2312" w:cs="仿宋_GB2312"/>
          <w:color w:val="auto"/>
          <w:sz w:val="32"/>
          <w:szCs w:val="32"/>
        </w:rPr>
      </w:pPr>
      <w:r>
        <w:rPr>
          <w:rFonts w:hint="eastAsia" w:ascii="仿宋_GB2312" w:hAnsi="仿宋_GB2312" w:cs="仿宋_GB2312"/>
          <w:color w:val="auto"/>
          <w:sz w:val="32"/>
          <w:szCs w:val="32"/>
        </w:rPr>
        <w:t>学校曾荣获“河南省职业教育工作先进单位”、“河南省职业教育攻坚工作先进单位”、“新乡市职业教育工作先进单位”、“新乡市职业教育教学研究工作先进单位”等荣誉称号。</w:t>
      </w:r>
    </w:p>
    <w:p>
      <w:pPr>
        <w:spacing w:line="560" w:lineRule="exact"/>
        <w:ind w:firstLine="600"/>
        <w:rPr>
          <w:rFonts w:hint="eastAsia" w:ascii="仿宋_GB2312" w:hAnsi="仿宋_GB2312" w:cs="仿宋_GB2312"/>
          <w:color w:val="auto"/>
          <w:sz w:val="32"/>
          <w:szCs w:val="32"/>
        </w:rPr>
      </w:pPr>
    </w:p>
    <w:p>
      <w:pPr>
        <w:spacing w:line="560" w:lineRule="exact"/>
        <w:ind w:firstLine="600"/>
        <w:rPr>
          <w:rFonts w:hint="eastAsia" w:ascii="仿宋_GB2312" w:hAnsi="仿宋_GB2312" w:cs="仿宋_GB2312"/>
          <w:color w:val="auto"/>
          <w:sz w:val="32"/>
          <w:szCs w:val="32"/>
        </w:rPr>
      </w:pPr>
    </w:p>
    <w:p>
      <w:pPr>
        <w:spacing w:line="560" w:lineRule="exact"/>
        <w:ind w:firstLine="600"/>
        <w:rPr>
          <w:rFonts w:hint="eastAsia" w:ascii="仿宋_GB2312" w:hAnsi="仿宋_GB2312" w:cs="仿宋_GB2312"/>
          <w:color w:val="auto"/>
          <w:sz w:val="32"/>
          <w:szCs w:val="32"/>
        </w:rPr>
      </w:pPr>
    </w:p>
    <w:p>
      <w:pPr>
        <w:spacing w:line="560" w:lineRule="exact"/>
        <w:jc w:val="center"/>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表1 学校资产等办学条件</w:t>
      </w:r>
    </w:p>
    <w:tbl>
      <w:tblPr>
        <w:tblStyle w:val="11"/>
        <w:tblW w:w="87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79"/>
        <w:gridCol w:w="2516"/>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32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指标名称</w:t>
            </w:r>
          </w:p>
        </w:tc>
        <w:tc>
          <w:tcPr>
            <w:tcW w:w="25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计量单位</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学校产权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32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2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占地面积</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平方米</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623810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#绿化用地面积</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平方米</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#运动场地面积</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平方米</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图书</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册</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电子图书</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册</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数字终端数</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#教师终端数</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#学生终端数</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教室</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间</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#网络多媒体教室</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间</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固定资产总值</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万元</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#教学科研实习仪器设备资产值</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万元</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#当年新增</w:t>
            </w: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万元</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92</w:t>
            </w:r>
          </w:p>
        </w:tc>
      </w:tr>
    </w:tbl>
    <w:p>
      <w:pPr>
        <w:pStyle w:val="3"/>
        <w:bidi w:val="0"/>
        <w:ind w:left="0" w:leftChars="0" w:firstLine="640" w:firstLineChars="200"/>
        <w:rPr>
          <w:rFonts w:hint="eastAsia"/>
        </w:rPr>
      </w:pPr>
      <w:bookmarkStart w:id="5" w:name="_Toc26973"/>
      <w:bookmarkStart w:id="6" w:name="_Toc7653"/>
      <w:r>
        <w:rPr>
          <w:rFonts w:hint="eastAsia"/>
        </w:rPr>
        <w:t>1.2 学生情况</w:t>
      </w:r>
      <w:bookmarkEnd w:id="5"/>
      <w:bookmarkEnd w:id="6"/>
    </w:p>
    <w:p>
      <w:pPr>
        <w:spacing w:line="560" w:lineRule="exact"/>
        <w:ind w:firstLine="600"/>
        <w:rPr>
          <w:rFonts w:hint="eastAsia"/>
        </w:rPr>
      </w:pPr>
      <w:r>
        <w:rPr>
          <w:rFonts w:hint="eastAsia" w:ascii="仿宋_GB2312" w:hAnsi="仿宋_GB2312" w:cs="仿宋_GB2312"/>
          <w:color w:val="auto"/>
          <w:sz w:val="32"/>
          <w:szCs w:val="32"/>
        </w:rPr>
        <w:t>在上级主管部门的正确领导下，在全体教职员工齐心协力共同努力下，</w:t>
      </w:r>
      <w:r>
        <w:rPr>
          <w:rFonts w:hint="eastAsia" w:ascii="仿宋_GB2312" w:hAnsi="仿宋_GB2312" w:cs="仿宋_GB2312"/>
          <w:color w:val="auto"/>
          <w:sz w:val="32"/>
          <w:szCs w:val="32"/>
          <w:lang w:val="en-US" w:eastAsia="zh-CN"/>
        </w:rPr>
        <w:t>2021年招生579人，在校生1460人，其中女生487人，</w:t>
      </w:r>
      <w:r>
        <w:rPr>
          <w:rFonts w:hint="eastAsia" w:ascii="仿宋_GB2312" w:hAnsi="仿宋_GB2312" w:cs="仿宋_GB2312"/>
          <w:color w:val="auto"/>
          <w:sz w:val="32"/>
          <w:szCs w:val="32"/>
        </w:rPr>
        <w:t xml:space="preserve"> 20</w:t>
      </w:r>
      <w:r>
        <w:rPr>
          <w:rFonts w:hint="eastAsia" w:ascii="仿宋_GB2312" w:hAnsi="仿宋_GB2312" w:cs="仿宋_GB2312"/>
          <w:color w:val="auto"/>
          <w:sz w:val="32"/>
          <w:szCs w:val="32"/>
          <w:lang w:val="en-US" w:eastAsia="zh-CN"/>
        </w:rPr>
        <w:t>20</w:t>
      </w:r>
      <w:r>
        <w:rPr>
          <w:rFonts w:hint="eastAsia" w:ascii="仿宋_GB2312" w:hAnsi="仿宋_GB2312" w:cs="仿宋_GB2312"/>
          <w:color w:val="auto"/>
          <w:sz w:val="32"/>
          <w:szCs w:val="32"/>
        </w:rPr>
        <w:t>届毕业生数为</w:t>
      </w:r>
      <w:r>
        <w:rPr>
          <w:rFonts w:hint="eastAsia" w:ascii="仿宋_GB2312" w:hAnsi="仿宋_GB2312" w:cs="仿宋_GB2312"/>
          <w:color w:val="auto"/>
          <w:sz w:val="32"/>
          <w:szCs w:val="32"/>
          <w:lang w:val="en-US" w:eastAsia="zh-CN"/>
        </w:rPr>
        <w:t>717</w:t>
      </w:r>
      <w:r>
        <w:rPr>
          <w:rFonts w:hint="eastAsia" w:ascii="仿宋_GB2312" w:hAnsi="仿宋_GB2312" w:cs="仿宋_GB2312"/>
          <w:color w:val="auto"/>
          <w:sz w:val="32"/>
          <w:szCs w:val="32"/>
        </w:rPr>
        <w:t>人</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巩固率约为9</w:t>
      </w:r>
      <w:r>
        <w:rPr>
          <w:rFonts w:hint="eastAsia" w:ascii="仿宋_GB2312" w:hAnsi="仿宋_GB2312" w:cs="仿宋_GB2312"/>
          <w:color w:val="auto"/>
          <w:sz w:val="32"/>
          <w:szCs w:val="32"/>
          <w:lang w:val="en-US" w:eastAsia="zh-CN"/>
        </w:rPr>
        <w:t>7.9</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培训1200人次。</w:t>
      </w:r>
      <w:bookmarkStart w:id="7" w:name="_Toc15499"/>
    </w:p>
    <w:p>
      <w:pPr>
        <w:pStyle w:val="3"/>
        <w:bidi w:val="0"/>
        <w:rPr>
          <w:rFonts w:hint="eastAsia"/>
        </w:rPr>
      </w:pPr>
      <w:bookmarkStart w:id="8" w:name="_Toc6707"/>
      <w:r>
        <w:rPr>
          <w:rFonts w:hint="eastAsia"/>
        </w:rPr>
        <w:t>1.3教师队伍</w:t>
      </w:r>
      <w:bookmarkEnd w:id="7"/>
      <w:bookmarkEnd w:id="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sz w:val="32"/>
          <w:szCs w:val="32"/>
        </w:rPr>
      </w:pPr>
      <w:r>
        <w:rPr>
          <w:rFonts w:hint="eastAsia" w:ascii="仿宋_GB2312" w:hAnsi="仿宋_GB2312" w:cs="仿宋_GB2312"/>
          <w:color w:val="auto"/>
          <w:sz w:val="32"/>
          <w:szCs w:val="32"/>
        </w:rPr>
        <w:t>学校</w:t>
      </w:r>
      <w:r>
        <w:rPr>
          <w:rFonts w:hint="eastAsia" w:ascii="仿宋_GB2312" w:hAnsi="仿宋_GB2312" w:cs="仿宋_GB2312"/>
          <w:color w:val="auto"/>
          <w:sz w:val="32"/>
          <w:szCs w:val="32"/>
          <w:lang w:val="en-US" w:eastAsia="zh-CN"/>
        </w:rPr>
        <w:t>教职员工总数为86人，较上年减少13人，</w:t>
      </w:r>
      <w:r>
        <w:rPr>
          <w:rFonts w:hint="eastAsia" w:ascii="仿宋_GB2312" w:hAnsi="仿宋_GB2312" w:cs="仿宋_GB2312"/>
          <w:color w:val="auto"/>
          <w:sz w:val="32"/>
          <w:szCs w:val="32"/>
        </w:rPr>
        <w:t>专任教师7</w:t>
      </w:r>
      <w:r>
        <w:rPr>
          <w:rFonts w:hint="eastAsia" w:ascii="仿宋_GB2312" w:hAnsi="仿宋_GB2312" w:cs="仿宋_GB2312"/>
          <w:color w:val="auto"/>
          <w:sz w:val="32"/>
          <w:szCs w:val="32"/>
          <w:lang w:val="en-US" w:eastAsia="zh-CN"/>
        </w:rPr>
        <w:t>8</w:t>
      </w:r>
      <w:r>
        <w:rPr>
          <w:rFonts w:hint="eastAsia" w:ascii="仿宋_GB2312" w:hAnsi="仿宋_GB2312" w:cs="仿宋_GB2312"/>
          <w:color w:val="auto"/>
          <w:sz w:val="32"/>
          <w:szCs w:val="32"/>
        </w:rPr>
        <w:t>人</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其中文化课教师</w:t>
      </w:r>
      <w:r>
        <w:rPr>
          <w:rFonts w:hint="eastAsia" w:ascii="仿宋_GB2312" w:hAnsi="仿宋_GB2312" w:cs="仿宋_GB2312"/>
          <w:color w:val="auto"/>
          <w:sz w:val="32"/>
          <w:szCs w:val="32"/>
          <w:lang w:val="en-US" w:eastAsia="zh-CN"/>
        </w:rPr>
        <w:t>36</w:t>
      </w:r>
      <w:r>
        <w:rPr>
          <w:rFonts w:hint="eastAsia" w:ascii="仿宋_GB2312" w:hAnsi="仿宋_GB2312" w:cs="仿宋_GB2312"/>
          <w:color w:val="auto"/>
          <w:sz w:val="32"/>
          <w:szCs w:val="32"/>
        </w:rPr>
        <w:t>人，专业课教师4</w:t>
      </w:r>
      <w:r>
        <w:rPr>
          <w:rFonts w:hint="eastAsia" w:ascii="仿宋_GB2312" w:hAnsi="仿宋_GB2312" w:cs="仿宋_GB2312"/>
          <w:color w:val="auto"/>
          <w:sz w:val="32"/>
          <w:szCs w:val="32"/>
          <w:lang w:val="en-US" w:eastAsia="zh-CN"/>
        </w:rPr>
        <w:t>2</w:t>
      </w:r>
      <w:r>
        <w:rPr>
          <w:rFonts w:hint="eastAsia" w:ascii="仿宋_GB2312" w:hAnsi="仿宋_GB2312" w:cs="仿宋_GB2312"/>
          <w:color w:val="auto"/>
          <w:sz w:val="32"/>
          <w:szCs w:val="32"/>
        </w:rPr>
        <w:t>人，“双师型”教师</w:t>
      </w:r>
      <w:r>
        <w:rPr>
          <w:rFonts w:hint="eastAsia" w:ascii="仿宋_GB2312" w:hAnsi="仿宋_GB2312" w:cs="仿宋_GB2312"/>
          <w:color w:val="auto"/>
          <w:sz w:val="32"/>
          <w:szCs w:val="32"/>
          <w:lang w:val="en-US" w:eastAsia="zh-CN"/>
        </w:rPr>
        <w:t>27</w:t>
      </w:r>
      <w:r>
        <w:rPr>
          <w:rFonts w:hint="eastAsia" w:ascii="仿宋_GB2312" w:hAnsi="仿宋_GB2312" w:cs="仿宋_GB2312"/>
          <w:color w:val="auto"/>
          <w:sz w:val="32"/>
          <w:szCs w:val="32"/>
        </w:rPr>
        <w:t>人，兼职教师</w:t>
      </w:r>
      <w:r>
        <w:rPr>
          <w:rFonts w:hint="eastAsia" w:ascii="仿宋_GB2312" w:hAnsi="仿宋_GB2312" w:cs="仿宋_GB2312"/>
          <w:color w:val="auto"/>
          <w:sz w:val="32"/>
          <w:szCs w:val="32"/>
          <w:lang w:val="en-US" w:eastAsia="zh-CN"/>
        </w:rPr>
        <w:t>11</w:t>
      </w:r>
      <w:r>
        <w:rPr>
          <w:rFonts w:hint="eastAsia" w:ascii="仿宋_GB2312" w:hAnsi="仿宋_GB2312" w:cs="仿宋_GB2312"/>
          <w:color w:val="auto"/>
          <w:sz w:val="32"/>
          <w:szCs w:val="32"/>
        </w:rPr>
        <w:t>人，硕士学历</w:t>
      </w:r>
      <w:r>
        <w:rPr>
          <w:rFonts w:hint="eastAsia" w:ascii="仿宋_GB2312" w:hAnsi="仿宋_GB2312" w:cs="仿宋_GB2312"/>
          <w:color w:val="auto"/>
          <w:sz w:val="32"/>
          <w:szCs w:val="32"/>
          <w:lang w:val="en-US" w:eastAsia="zh-CN"/>
        </w:rPr>
        <w:t>4</w:t>
      </w:r>
      <w:r>
        <w:rPr>
          <w:rFonts w:hint="eastAsia" w:ascii="仿宋_GB2312" w:hAnsi="仿宋_GB2312" w:cs="仿宋_GB2312"/>
          <w:color w:val="auto"/>
          <w:sz w:val="32"/>
          <w:szCs w:val="32"/>
        </w:rPr>
        <w:t>人，本科学历6</w:t>
      </w:r>
      <w:r>
        <w:rPr>
          <w:rFonts w:hint="eastAsia" w:ascii="仿宋_GB2312" w:hAnsi="仿宋_GB2312" w:cs="仿宋_GB2312"/>
          <w:color w:val="auto"/>
          <w:sz w:val="32"/>
          <w:szCs w:val="32"/>
          <w:lang w:val="en-US" w:eastAsia="zh-CN"/>
        </w:rPr>
        <w:t>6</w:t>
      </w:r>
      <w:r>
        <w:rPr>
          <w:rFonts w:hint="eastAsia" w:ascii="仿宋_GB2312" w:hAnsi="仿宋_GB2312" w:cs="仿宋_GB2312"/>
          <w:color w:val="auto"/>
          <w:sz w:val="32"/>
          <w:szCs w:val="32"/>
        </w:rPr>
        <w:t>人，高级职称教师</w:t>
      </w:r>
      <w:r>
        <w:rPr>
          <w:rFonts w:hint="eastAsia" w:ascii="仿宋_GB2312" w:hAnsi="仿宋_GB2312" w:cs="仿宋_GB2312"/>
          <w:color w:val="auto"/>
          <w:sz w:val="32"/>
          <w:szCs w:val="32"/>
          <w:lang w:val="en-US" w:eastAsia="zh-CN"/>
        </w:rPr>
        <w:t>19</w:t>
      </w:r>
      <w:r>
        <w:rPr>
          <w:rFonts w:hint="eastAsia" w:ascii="仿宋_GB2312" w:hAnsi="仿宋_GB2312" w:cs="仿宋_GB2312"/>
          <w:color w:val="auto"/>
          <w:sz w:val="32"/>
          <w:szCs w:val="32"/>
        </w:rPr>
        <w:t>人，生师比</w:t>
      </w:r>
      <w:r>
        <w:rPr>
          <w:rFonts w:hint="eastAsia" w:ascii="仿宋_GB2312" w:hAnsi="仿宋_GB2312" w:cs="仿宋_GB2312"/>
          <w:color w:val="auto"/>
          <w:sz w:val="32"/>
          <w:szCs w:val="32"/>
          <w:lang w:val="en-US" w:eastAsia="zh-CN"/>
        </w:rPr>
        <w:t>18.72</w:t>
      </w:r>
      <w:r>
        <w:rPr>
          <w:rFonts w:hint="eastAsia" w:ascii="仿宋_GB2312" w:hAnsi="仿宋_GB2312" w:cs="仿宋_GB2312"/>
          <w:color w:val="auto"/>
          <w:sz w:val="32"/>
          <w:szCs w:val="32"/>
        </w:rPr>
        <w:t>:1，“双师型”教师占专任专业课教师</w:t>
      </w:r>
      <w:r>
        <w:rPr>
          <w:rFonts w:hint="eastAsia" w:ascii="仿宋_GB2312" w:hAnsi="仿宋_GB2312" w:cs="仿宋_GB2312"/>
          <w:color w:val="auto"/>
          <w:sz w:val="32"/>
          <w:szCs w:val="32"/>
          <w:lang w:val="en-US" w:eastAsia="zh-CN"/>
        </w:rPr>
        <w:t>64.29</w:t>
      </w:r>
      <w:r>
        <w:rPr>
          <w:rFonts w:hint="eastAsia" w:ascii="仿宋_GB2312" w:hAnsi="仿宋_GB2312" w:cs="仿宋_GB2312"/>
          <w:color w:val="auto"/>
          <w:sz w:val="32"/>
          <w:szCs w:val="32"/>
        </w:rPr>
        <w:t>%，兼职教师占专任教师</w:t>
      </w:r>
      <w:r>
        <w:rPr>
          <w:rFonts w:hint="eastAsia" w:ascii="仿宋_GB2312" w:hAnsi="仿宋_GB2312" w:cs="仿宋_GB2312"/>
          <w:color w:val="auto"/>
          <w:sz w:val="32"/>
          <w:szCs w:val="32"/>
          <w:lang w:val="en-US" w:eastAsia="zh-CN"/>
        </w:rPr>
        <w:t>14.10</w:t>
      </w:r>
      <w:r>
        <w:rPr>
          <w:rFonts w:hint="eastAsia" w:ascii="仿宋_GB2312" w:hAnsi="仿宋_GB2312" w:cs="仿宋_GB2312"/>
          <w:color w:val="auto"/>
          <w:sz w:val="32"/>
          <w:szCs w:val="32"/>
        </w:rPr>
        <w:t>%，硕士学历教师占</w:t>
      </w:r>
      <w:r>
        <w:rPr>
          <w:rFonts w:hint="eastAsia" w:ascii="仿宋_GB2312" w:hAnsi="仿宋_GB2312" w:cs="仿宋_GB2312"/>
          <w:color w:val="auto"/>
          <w:sz w:val="32"/>
          <w:szCs w:val="32"/>
          <w:lang w:val="en-US" w:eastAsia="zh-CN"/>
        </w:rPr>
        <w:t>5.13</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本科学历占8</w:t>
      </w:r>
      <w:r>
        <w:rPr>
          <w:rFonts w:hint="eastAsia" w:ascii="仿宋_GB2312" w:hAnsi="仿宋_GB2312" w:cs="仿宋_GB2312"/>
          <w:color w:val="auto"/>
          <w:sz w:val="32"/>
          <w:szCs w:val="32"/>
          <w:lang w:val="en-US" w:eastAsia="zh-CN"/>
        </w:rPr>
        <w:t>4.62</w:t>
      </w:r>
      <w:r>
        <w:rPr>
          <w:rFonts w:hint="eastAsia" w:ascii="仿宋_GB2312" w:hAnsi="仿宋_GB2312" w:cs="仿宋_GB2312"/>
          <w:color w:val="auto"/>
          <w:sz w:val="32"/>
          <w:szCs w:val="32"/>
        </w:rPr>
        <w:t>%，高级职称教师占2</w:t>
      </w:r>
      <w:r>
        <w:rPr>
          <w:rFonts w:hint="eastAsia" w:ascii="仿宋_GB2312" w:hAnsi="仿宋_GB2312" w:cs="仿宋_GB2312"/>
          <w:color w:val="auto"/>
          <w:sz w:val="32"/>
          <w:szCs w:val="32"/>
          <w:lang w:val="en-US" w:eastAsia="zh-CN"/>
        </w:rPr>
        <w:t>4.36</w:t>
      </w:r>
      <w:r>
        <w:rPr>
          <w:rFonts w:hint="eastAsia" w:ascii="仿宋_GB2312" w:hAnsi="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表2 教师队伍条件</w:t>
      </w:r>
    </w:p>
    <w:tbl>
      <w:tblPr>
        <w:tblStyle w:val="11"/>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1355"/>
        <w:gridCol w:w="1185"/>
        <w:gridCol w:w="1125"/>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4091" w:type="dxa"/>
            <w:tcBorders>
              <w:tl2br w:val="single" w:color="auto" w:sz="4" w:space="0"/>
            </w:tcBorders>
            <w:noWrap w:val="0"/>
            <w:vAlign w:val="center"/>
          </w:tcPr>
          <w:p>
            <w:pPr>
              <w:rPr>
                <w:rFonts w:hint="eastAsia" w:ascii="仿宋_GB2312" w:hAnsi="仿宋_GB2312" w:cs="仿宋_GB2312"/>
                <w:b/>
                <w:bCs/>
                <w:color w:val="auto"/>
                <w:sz w:val="24"/>
                <w:szCs w:val="24"/>
              </w:rPr>
            </w:pPr>
            <w:r>
              <w:rPr>
                <w:rFonts w:hint="eastAsia" w:ascii="仿宋_GB2312" w:hAnsi="仿宋_GB2312" w:cs="仿宋_GB2312"/>
                <w:b/>
                <w:bCs/>
                <w:color w:val="auto"/>
                <w:sz w:val="24"/>
                <w:szCs w:val="24"/>
              </w:rPr>
              <w:t>指标                        年度</w:t>
            </w:r>
          </w:p>
        </w:tc>
        <w:tc>
          <w:tcPr>
            <w:tcW w:w="2540" w:type="dxa"/>
            <w:gridSpan w:val="2"/>
            <w:noWrap w:val="0"/>
            <w:vAlign w:val="center"/>
          </w:tcPr>
          <w:p>
            <w:pPr>
              <w:jc w:val="center"/>
              <w:rPr>
                <w:rFonts w:hint="eastAsia" w:ascii="仿宋_GB2312" w:hAnsi="仿宋_GB2312" w:cs="仿宋_GB2312"/>
                <w:b/>
                <w:bCs/>
                <w:color w:val="auto"/>
                <w:sz w:val="24"/>
                <w:szCs w:val="24"/>
              </w:rPr>
            </w:pPr>
            <w:r>
              <w:rPr>
                <w:rFonts w:hint="eastAsia" w:ascii="仿宋_GB2312" w:hAnsi="仿宋_GB2312" w:cs="仿宋_GB2312"/>
                <w:b/>
                <w:bCs/>
                <w:color w:val="auto"/>
                <w:sz w:val="24"/>
                <w:szCs w:val="24"/>
              </w:rPr>
              <w:t>20</w:t>
            </w:r>
            <w:r>
              <w:rPr>
                <w:rFonts w:hint="eastAsia" w:ascii="仿宋_GB2312" w:hAnsi="仿宋_GB2312" w:cs="仿宋_GB2312"/>
                <w:b/>
                <w:bCs/>
                <w:color w:val="auto"/>
                <w:sz w:val="24"/>
                <w:szCs w:val="24"/>
                <w:lang w:val="en-US" w:eastAsia="zh-CN"/>
              </w:rPr>
              <w:t>20</w:t>
            </w:r>
            <w:r>
              <w:rPr>
                <w:rFonts w:hint="eastAsia" w:ascii="仿宋_GB2312" w:hAnsi="仿宋_GB2312" w:cs="仿宋_GB2312"/>
                <w:b/>
                <w:bCs/>
                <w:color w:val="auto"/>
                <w:sz w:val="24"/>
                <w:szCs w:val="24"/>
              </w:rPr>
              <w:t>年</w:t>
            </w:r>
          </w:p>
        </w:tc>
        <w:tc>
          <w:tcPr>
            <w:tcW w:w="2281" w:type="dxa"/>
            <w:gridSpan w:val="2"/>
            <w:noWrap w:val="0"/>
            <w:vAlign w:val="center"/>
          </w:tcPr>
          <w:p>
            <w:pPr>
              <w:jc w:val="center"/>
              <w:rPr>
                <w:rFonts w:hint="eastAsia" w:ascii="仿宋_GB2312" w:hAnsi="仿宋_GB2312" w:cs="仿宋_GB2312"/>
                <w:b/>
                <w:bCs/>
                <w:color w:val="auto"/>
                <w:sz w:val="24"/>
                <w:szCs w:val="24"/>
              </w:rPr>
            </w:pPr>
            <w:r>
              <w:rPr>
                <w:rFonts w:hint="eastAsia" w:ascii="仿宋_GB2312" w:hAnsi="仿宋_GB2312" w:cs="仿宋_GB2312"/>
                <w:b/>
                <w:bCs/>
                <w:color w:val="auto"/>
                <w:sz w:val="24"/>
                <w:szCs w:val="24"/>
              </w:rPr>
              <w:t>2</w:t>
            </w:r>
            <w:r>
              <w:rPr>
                <w:rFonts w:hint="eastAsia" w:ascii="仿宋_GB2312" w:hAnsi="仿宋_GB2312" w:cs="仿宋_GB2312"/>
                <w:b/>
                <w:bCs/>
                <w:color w:val="auto"/>
                <w:sz w:val="24"/>
                <w:szCs w:val="24"/>
                <w:lang w:val="en-US" w:eastAsia="zh-CN"/>
              </w:rPr>
              <w:t>021</w:t>
            </w:r>
            <w:r>
              <w:rPr>
                <w:rFonts w:hint="eastAsia" w:ascii="仿宋_GB2312" w:hAnsi="仿宋_GB2312" w:cs="仿宋_GB2312"/>
                <w:b/>
                <w:bCs/>
                <w:color w:val="auto"/>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4091" w:type="dxa"/>
            <w:noWrap w:val="0"/>
            <w:vAlign w:val="center"/>
          </w:tcPr>
          <w:p>
            <w:pPr>
              <w:jc w:val="center"/>
              <w:rPr>
                <w:rFonts w:hint="eastAsia" w:ascii="仿宋_GB2312" w:hAnsi="仿宋_GB2312" w:cs="仿宋_GB2312"/>
                <w:color w:val="auto"/>
                <w:sz w:val="24"/>
                <w:szCs w:val="24"/>
              </w:rPr>
            </w:pPr>
          </w:p>
        </w:tc>
        <w:tc>
          <w:tcPr>
            <w:tcW w:w="1355" w:type="dxa"/>
            <w:noWrap w:val="0"/>
            <w:vAlign w:val="center"/>
          </w:tcPr>
          <w:p>
            <w:pPr>
              <w:jc w:val="center"/>
              <w:rPr>
                <w:rFonts w:hint="eastAsia" w:ascii="仿宋_GB2312" w:hAnsi="仿宋_GB2312" w:cs="仿宋_GB2312"/>
                <w:color w:val="auto"/>
                <w:sz w:val="24"/>
                <w:szCs w:val="24"/>
              </w:rPr>
            </w:pPr>
            <w:r>
              <w:rPr>
                <w:rFonts w:hint="eastAsia" w:ascii="仿宋_GB2312" w:hAnsi="仿宋_GB2312" w:cs="仿宋_GB2312"/>
                <w:color w:val="auto"/>
                <w:sz w:val="24"/>
                <w:szCs w:val="24"/>
              </w:rPr>
              <w:t>人数</w:t>
            </w:r>
          </w:p>
        </w:tc>
        <w:tc>
          <w:tcPr>
            <w:tcW w:w="1185" w:type="dxa"/>
            <w:noWrap w:val="0"/>
            <w:vAlign w:val="center"/>
          </w:tcPr>
          <w:p>
            <w:pPr>
              <w:jc w:val="center"/>
              <w:rPr>
                <w:rFonts w:hint="eastAsia" w:ascii="仿宋_GB2312" w:hAnsi="仿宋_GB2312" w:cs="仿宋_GB2312"/>
                <w:color w:val="auto"/>
                <w:sz w:val="24"/>
                <w:szCs w:val="24"/>
              </w:rPr>
            </w:pPr>
            <w:r>
              <w:rPr>
                <w:rFonts w:hint="eastAsia" w:ascii="仿宋_GB2312" w:hAnsi="仿宋_GB2312" w:cs="仿宋_GB2312"/>
                <w:color w:val="auto"/>
                <w:sz w:val="24"/>
                <w:szCs w:val="24"/>
              </w:rPr>
              <w:t>比例</w:t>
            </w:r>
          </w:p>
        </w:tc>
        <w:tc>
          <w:tcPr>
            <w:tcW w:w="1125" w:type="dxa"/>
            <w:noWrap w:val="0"/>
            <w:vAlign w:val="center"/>
          </w:tcPr>
          <w:p>
            <w:pPr>
              <w:jc w:val="center"/>
              <w:rPr>
                <w:rFonts w:hint="eastAsia" w:ascii="仿宋_GB2312" w:hAnsi="仿宋_GB2312" w:cs="仿宋_GB2312"/>
                <w:color w:val="auto"/>
                <w:sz w:val="24"/>
                <w:szCs w:val="24"/>
              </w:rPr>
            </w:pPr>
            <w:r>
              <w:rPr>
                <w:rFonts w:hint="eastAsia" w:ascii="仿宋_GB2312" w:hAnsi="仿宋_GB2312" w:cs="仿宋_GB2312"/>
                <w:color w:val="auto"/>
                <w:sz w:val="24"/>
                <w:szCs w:val="24"/>
              </w:rPr>
              <w:t>人数</w:t>
            </w:r>
          </w:p>
        </w:tc>
        <w:tc>
          <w:tcPr>
            <w:tcW w:w="1156" w:type="dxa"/>
            <w:noWrap w:val="0"/>
            <w:vAlign w:val="center"/>
          </w:tcPr>
          <w:p>
            <w:pPr>
              <w:jc w:val="center"/>
              <w:rPr>
                <w:rFonts w:hint="eastAsia" w:ascii="仿宋_GB2312" w:hAnsi="仿宋_GB2312" w:cs="仿宋_GB2312"/>
                <w:color w:val="auto"/>
                <w:sz w:val="24"/>
                <w:szCs w:val="24"/>
              </w:rPr>
            </w:pPr>
            <w:r>
              <w:rPr>
                <w:rFonts w:hint="eastAsia" w:ascii="仿宋_GB2312" w:hAnsi="仿宋_GB2312" w:cs="仿宋_GB2312"/>
                <w:color w:val="auto"/>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091" w:type="dxa"/>
            <w:noWrap w:val="0"/>
            <w:vAlign w:val="center"/>
          </w:tcPr>
          <w:p>
            <w:pPr>
              <w:jc w:val="center"/>
              <w:rPr>
                <w:rFonts w:hint="eastAsia" w:ascii="仿宋_GB2312" w:hAnsi="仿宋_GB2312" w:cs="仿宋_GB2312"/>
                <w:color w:val="auto"/>
                <w:sz w:val="24"/>
                <w:szCs w:val="24"/>
              </w:rPr>
            </w:pPr>
            <w:r>
              <w:rPr>
                <w:rFonts w:hint="eastAsia" w:ascii="仿宋_GB2312" w:hAnsi="仿宋_GB2312" w:cs="仿宋_GB2312"/>
                <w:color w:val="auto"/>
                <w:sz w:val="24"/>
                <w:szCs w:val="24"/>
              </w:rPr>
              <w:t>在校生规模</w:t>
            </w:r>
          </w:p>
        </w:tc>
        <w:tc>
          <w:tcPr>
            <w:tcW w:w="1355" w:type="dxa"/>
            <w:noWrap w:val="0"/>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1620</w:t>
            </w:r>
          </w:p>
        </w:tc>
        <w:tc>
          <w:tcPr>
            <w:tcW w:w="1185" w:type="dxa"/>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pPr>
              <w:snapToGrid w:val="0"/>
              <w:jc w:val="center"/>
              <mc:AlternateContent>
                <mc:Choice Requires="wpsCustomData">
                  <wpsCustomData:diagonalParaType/>
                </mc:Choice>
              </mc:AlternateContent>
              <w:rPr>
                <w:rFonts w:hint="eastAsia" w:ascii="仿宋_GB2312" w:hAnsi="仿宋_GB2312" w:cs="仿宋_GB2312"/>
                <w:color w:val="auto"/>
                <w:sz w:val="24"/>
                <w:szCs w:val="24"/>
              </w:rPr>
            </w:pPr>
          </w:p>
          <w:p>
            <w:pPr>
              <w:jc w:val="center"/>
              <w:rPr>
                <w:rFonts w:hint="eastAsia" w:ascii="仿宋_GB2312" w:hAnsi="仿宋_GB2312" w:cs="仿宋_GB2312"/>
                <w:color w:val="auto"/>
                <w:sz w:val="24"/>
                <w:szCs w:val="24"/>
              </w:rPr>
            </w:pPr>
          </w:p>
        </w:tc>
        <w:tc>
          <w:tcPr>
            <w:tcW w:w="1125" w:type="dxa"/>
            <w:noWrap w:val="0"/>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1460</w:t>
            </w:r>
          </w:p>
        </w:tc>
        <w:tc>
          <w:tcPr>
            <w:tcW w:w="1156" w:type="dxa"/>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pPr>
              <w:snapToGrid w:val="0"/>
              <w:jc w:val="center"/>
              <mc:AlternateContent>
                <mc:Choice Requires="wpsCustomData">
                  <wpsCustomData:diagonalParaType/>
                </mc:Choice>
              </mc:AlternateContent>
              <w:rPr>
                <w:rFonts w:hint="eastAsia" w:ascii="仿宋_GB2312" w:hAnsi="仿宋_GB2312" w:cs="仿宋_GB2312"/>
                <w:color w:val="auto"/>
                <w:sz w:val="24"/>
                <w:szCs w:val="24"/>
              </w:rPr>
            </w:pPr>
          </w:p>
          <w:p>
            <w:pPr>
              <w:jc w:val="center"/>
              <w:rPr>
                <w:rFonts w:hint="eastAsia"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091" w:type="dxa"/>
            <w:noWrap w:val="0"/>
            <w:vAlign w:val="center"/>
          </w:tcPr>
          <w:p>
            <w:pPr>
              <w:jc w:val="center"/>
              <w:rPr>
                <w:rFonts w:hint="eastAsia" w:ascii="仿宋_GB2312" w:hAnsi="仿宋_GB2312" w:cs="仿宋_GB2312"/>
                <w:color w:val="auto"/>
                <w:sz w:val="24"/>
                <w:szCs w:val="24"/>
              </w:rPr>
            </w:pPr>
            <w:r>
              <w:rPr>
                <w:rFonts w:hint="eastAsia" w:ascii="仿宋_GB2312" w:hAnsi="仿宋_GB2312" w:cs="仿宋_GB2312"/>
                <w:color w:val="auto"/>
                <w:sz w:val="24"/>
                <w:szCs w:val="24"/>
              </w:rPr>
              <w:t>专任教师</w:t>
            </w:r>
          </w:p>
        </w:tc>
        <w:tc>
          <w:tcPr>
            <w:tcW w:w="1355" w:type="dxa"/>
            <w:noWrap w:val="0"/>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93</w:t>
            </w:r>
          </w:p>
        </w:tc>
        <w:tc>
          <w:tcPr>
            <w:tcW w:w="1185" w:type="dxa"/>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pPr>
              <w:snapToGrid w:val="0"/>
              <w:jc w:val="center"/>
              <mc:AlternateContent>
                <mc:Choice Requires="wpsCustomData">
                  <wpsCustomData:diagonalParaType/>
                </mc:Choice>
              </mc:AlternateContent>
              <w:rPr>
                <w:rFonts w:hint="eastAsia" w:ascii="仿宋_GB2312" w:hAnsi="仿宋_GB2312" w:cs="仿宋_GB2312"/>
                <w:color w:val="auto"/>
                <w:sz w:val="24"/>
                <w:szCs w:val="24"/>
              </w:rPr>
            </w:pPr>
          </w:p>
          <w:p>
            <w:pPr>
              <w:snapToGrid w:val="0"/>
              <w:jc w:val="center"/>
              <w:rPr>
                <w:rFonts w:hint="eastAsia" w:ascii="仿宋_GB2312" w:hAnsi="仿宋_GB2312" w:cs="仿宋_GB2312"/>
                <w:color w:val="auto"/>
                <w:sz w:val="24"/>
                <w:szCs w:val="24"/>
              </w:rPr>
            </w:pPr>
          </w:p>
        </w:tc>
        <w:tc>
          <w:tcPr>
            <w:tcW w:w="1125" w:type="dxa"/>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cs="仿宋_GB2312"/>
                <w:color w:val="auto"/>
                <w:sz w:val="24"/>
                <w:szCs w:val="24"/>
              </w:rPr>
              <w:t>7</w:t>
            </w:r>
            <w:r>
              <w:rPr>
                <w:rFonts w:hint="eastAsia" w:ascii="仿宋_GB2312" w:hAnsi="仿宋_GB2312" w:cs="仿宋_GB2312"/>
                <w:color w:val="auto"/>
                <w:sz w:val="24"/>
                <w:szCs w:val="24"/>
                <w:lang w:val="en-US" w:eastAsia="zh-CN"/>
              </w:rPr>
              <w:t>7</w:t>
            </w:r>
          </w:p>
        </w:tc>
        <w:tc>
          <w:tcPr>
            <w:tcW w:w="1156" w:type="dxa"/>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pPr>
              <w:snapToGrid w:val="0"/>
              <w:jc w:val="center"/>
              <mc:AlternateContent>
                <mc:Choice Requires="wpsCustomData">
                  <wpsCustomData:diagonalParaType/>
                </mc:Choice>
              </mc:AlternateContent>
              <w:rPr>
                <w:rFonts w:hint="eastAsia" w:ascii="仿宋_GB2312" w:hAnsi="仿宋_GB2312" w:cs="仿宋_GB2312"/>
                <w:color w:val="auto"/>
                <w:sz w:val="24"/>
                <w:szCs w:val="24"/>
              </w:rPr>
            </w:pPr>
          </w:p>
          <w:p>
            <w:pPr>
              <w:jc w:val="center"/>
              <w:rPr>
                <w:rFonts w:hint="eastAsia"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091" w:type="dxa"/>
            <w:noWrap w:val="0"/>
            <w:vAlign w:val="center"/>
          </w:tcPr>
          <w:p>
            <w:pPr>
              <w:jc w:val="center"/>
              <w:rPr>
                <w:rFonts w:hint="eastAsia" w:ascii="仿宋_GB2312" w:hAnsi="仿宋_GB2312" w:cs="仿宋_GB2312"/>
                <w:color w:val="auto"/>
                <w:sz w:val="24"/>
                <w:szCs w:val="24"/>
              </w:rPr>
            </w:pPr>
            <w:r>
              <w:rPr>
                <w:rFonts w:hint="eastAsia" w:ascii="仿宋_GB2312" w:hAnsi="仿宋_GB2312" w:cs="仿宋_GB2312"/>
                <w:color w:val="auto"/>
                <w:sz w:val="24"/>
                <w:szCs w:val="24"/>
              </w:rPr>
              <w:t>专任专业课教师</w:t>
            </w:r>
          </w:p>
        </w:tc>
        <w:tc>
          <w:tcPr>
            <w:tcW w:w="1355" w:type="dxa"/>
            <w:noWrap w:val="0"/>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56</w:t>
            </w:r>
          </w:p>
        </w:tc>
        <w:tc>
          <w:tcPr>
            <w:tcW w:w="1185" w:type="dxa"/>
            <w:noWrap w:val="0"/>
            <w:vAlign w:val="center"/>
          </w:tcPr>
          <w:p>
            <w:pPr>
              <w:jc w:val="center"/>
              <w:rPr>
                <w:rFonts w:hint="eastAsia" w:ascii="仿宋_GB2312" w:hAnsi="仿宋_GB2312" w:cs="仿宋_GB2312"/>
                <w:color w:val="auto"/>
                <w:sz w:val="24"/>
                <w:szCs w:val="24"/>
              </w:rPr>
            </w:pPr>
            <w:r>
              <w:rPr>
                <w:rFonts w:hint="eastAsia" w:ascii="仿宋_GB2312" w:hAnsi="仿宋_GB2312" w:cs="仿宋_GB2312"/>
                <w:color w:val="auto"/>
                <w:sz w:val="24"/>
                <w:szCs w:val="24"/>
                <w:lang w:val="en-US" w:eastAsia="zh-CN"/>
              </w:rPr>
              <w:t>60.22</w:t>
            </w:r>
            <w:r>
              <w:rPr>
                <w:rFonts w:hint="eastAsia" w:ascii="仿宋_GB2312" w:hAnsi="仿宋_GB2312" w:cs="仿宋_GB2312"/>
                <w:color w:val="auto"/>
                <w:sz w:val="24"/>
                <w:szCs w:val="24"/>
              </w:rPr>
              <w:t>%</w:t>
            </w:r>
          </w:p>
        </w:tc>
        <w:tc>
          <w:tcPr>
            <w:tcW w:w="1125" w:type="dxa"/>
            <w:noWrap w:val="0"/>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rPr>
              <w:t>4</w:t>
            </w:r>
            <w:r>
              <w:rPr>
                <w:rFonts w:hint="eastAsia" w:ascii="仿宋_GB2312" w:hAnsi="仿宋_GB2312" w:cs="仿宋_GB2312"/>
                <w:color w:val="auto"/>
                <w:sz w:val="24"/>
                <w:szCs w:val="24"/>
                <w:lang w:val="en-US" w:eastAsia="zh-CN"/>
              </w:rPr>
              <w:t>2</w:t>
            </w:r>
          </w:p>
        </w:tc>
        <w:tc>
          <w:tcPr>
            <w:tcW w:w="1156" w:type="dxa"/>
            <w:noWrap w:val="0"/>
            <w:vAlign w:val="center"/>
          </w:tcPr>
          <w:p>
            <w:pPr>
              <w:jc w:val="center"/>
              <w:rPr>
                <w:rFonts w:hint="eastAsia" w:ascii="仿宋_GB2312" w:hAnsi="仿宋_GB2312" w:cs="仿宋_GB2312"/>
                <w:color w:val="auto"/>
                <w:sz w:val="24"/>
                <w:szCs w:val="24"/>
              </w:rPr>
            </w:pPr>
            <w:r>
              <w:rPr>
                <w:rFonts w:hint="eastAsia" w:ascii="仿宋_GB2312" w:hAnsi="仿宋_GB2312" w:cs="仿宋_GB2312"/>
                <w:color w:val="auto"/>
                <w:sz w:val="24"/>
                <w:szCs w:val="24"/>
              </w:rPr>
              <w:t>5</w:t>
            </w:r>
            <w:r>
              <w:rPr>
                <w:rFonts w:hint="eastAsia" w:ascii="仿宋_GB2312" w:hAnsi="仿宋_GB2312" w:cs="仿宋_GB2312"/>
                <w:color w:val="auto"/>
                <w:sz w:val="24"/>
                <w:szCs w:val="24"/>
                <w:lang w:val="en-US" w:eastAsia="zh-CN"/>
              </w:rPr>
              <w:t>3.85</w:t>
            </w:r>
            <w:r>
              <w:rPr>
                <w:rFonts w:hint="eastAsia" w:ascii="仿宋_GB2312" w:hAnsi="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091" w:type="dxa"/>
            <w:noWrap w:val="0"/>
            <w:vAlign w:val="center"/>
          </w:tcPr>
          <w:p>
            <w:pPr>
              <w:jc w:val="center"/>
              <w:rPr>
                <w:rFonts w:hint="eastAsia" w:ascii="仿宋_GB2312" w:hAnsi="仿宋_GB2312" w:cs="仿宋_GB2312"/>
                <w:color w:val="auto"/>
                <w:sz w:val="24"/>
                <w:szCs w:val="24"/>
              </w:rPr>
            </w:pPr>
            <w:r>
              <w:rPr>
                <w:rFonts w:hint="eastAsia" w:ascii="仿宋_GB2312" w:hAnsi="仿宋_GB2312" w:cs="仿宋_GB2312"/>
                <w:color w:val="auto"/>
                <w:sz w:val="24"/>
                <w:szCs w:val="24"/>
              </w:rPr>
              <w:t>生师比</w:t>
            </w:r>
          </w:p>
        </w:tc>
        <w:tc>
          <w:tcPr>
            <w:tcW w:w="2540" w:type="dxa"/>
            <w:gridSpan w:val="2"/>
            <w:noWrap w:val="0"/>
            <w:vAlign w:val="center"/>
          </w:tcPr>
          <w:p>
            <w:pPr>
              <w:jc w:val="center"/>
              <w:rPr>
                <w:rFonts w:hint="eastAsia" w:ascii="仿宋_GB2312" w:hAnsi="仿宋_GB2312" w:cs="仿宋_GB2312"/>
                <w:color w:val="auto"/>
                <w:sz w:val="24"/>
                <w:szCs w:val="24"/>
              </w:rPr>
            </w:pPr>
            <w:r>
              <w:rPr>
                <w:rFonts w:hint="eastAsia" w:ascii="仿宋_GB2312" w:hAnsi="仿宋_GB2312" w:cs="仿宋_GB2312"/>
                <w:color w:val="auto"/>
                <w:sz w:val="24"/>
                <w:szCs w:val="24"/>
                <w:lang w:val="en-US" w:eastAsia="zh-CN"/>
              </w:rPr>
              <w:t>17.42</w:t>
            </w:r>
            <w:r>
              <w:rPr>
                <w:rFonts w:hint="eastAsia" w:ascii="仿宋_GB2312" w:hAnsi="仿宋_GB2312" w:cs="仿宋_GB2312"/>
                <w:color w:val="auto"/>
                <w:sz w:val="24"/>
                <w:szCs w:val="24"/>
              </w:rPr>
              <w:t>:1</w:t>
            </w:r>
          </w:p>
        </w:tc>
        <w:tc>
          <w:tcPr>
            <w:tcW w:w="2281" w:type="dxa"/>
            <w:gridSpan w:val="2"/>
            <w:noWrap w:val="0"/>
            <w:vAlign w:val="center"/>
          </w:tcPr>
          <w:p>
            <w:pPr>
              <w:jc w:val="center"/>
              <w:rPr>
                <w:rFonts w:hint="eastAsia" w:ascii="仿宋_GB2312" w:hAnsi="仿宋_GB2312" w:cs="仿宋_GB2312"/>
                <w:color w:val="auto"/>
                <w:sz w:val="24"/>
                <w:szCs w:val="24"/>
              </w:rPr>
            </w:pPr>
            <w:r>
              <w:rPr>
                <w:rFonts w:hint="eastAsia" w:ascii="仿宋_GB2312" w:hAnsi="仿宋_GB2312" w:cs="仿宋_GB2312"/>
                <w:color w:val="auto"/>
                <w:sz w:val="24"/>
                <w:szCs w:val="24"/>
                <w:lang w:val="en-US" w:eastAsia="zh-CN"/>
              </w:rPr>
              <w:t>18.72</w:t>
            </w:r>
            <w:r>
              <w:rPr>
                <w:rFonts w:hint="eastAsia" w:ascii="仿宋_GB2312" w:hAnsi="仿宋_GB2312" w:cs="仿宋_GB2312"/>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091" w:type="dxa"/>
            <w:noWrap w:val="0"/>
            <w:vAlign w:val="center"/>
          </w:tcPr>
          <w:p>
            <w:pPr>
              <w:jc w:val="center"/>
              <w:rPr>
                <w:rFonts w:hint="eastAsia" w:ascii="仿宋_GB2312" w:hAnsi="仿宋_GB2312" w:cs="仿宋_GB2312"/>
                <w:color w:val="auto"/>
                <w:sz w:val="24"/>
                <w:szCs w:val="24"/>
              </w:rPr>
            </w:pPr>
            <w:r>
              <w:rPr>
                <w:rFonts w:hint="eastAsia" w:ascii="仿宋_GB2312" w:hAnsi="仿宋_GB2312" w:cs="仿宋_GB2312"/>
                <w:color w:val="auto"/>
                <w:sz w:val="24"/>
                <w:szCs w:val="24"/>
              </w:rPr>
              <w:t>双师型教师</w:t>
            </w:r>
          </w:p>
        </w:tc>
        <w:tc>
          <w:tcPr>
            <w:tcW w:w="1355" w:type="dxa"/>
            <w:noWrap w:val="0"/>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rPr>
              <w:t>3</w:t>
            </w:r>
            <w:r>
              <w:rPr>
                <w:rFonts w:hint="eastAsia" w:ascii="仿宋_GB2312" w:hAnsi="仿宋_GB2312" w:cs="仿宋_GB2312"/>
                <w:color w:val="auto"/>
                <w:sz w:val="24"/>
                <w:szCs w:val="24"/>
                <w:lang w:val="en-US" w:eastAsia="zh-CN"/>
              </w:rPr>
              <w:t>3</w:t>
            </w:r>
          </w:p>
        </w:tc>
        <w:tc>
          <w:tcPr>
            <w:tcW w:w="1185" w:type="dxa"/>
            <w:noWrap w:val="0"/>
            <w:vAlign w:val="center"/>
          </w:tcPr>
          <w:p>
            <w:pPr>
              <w:jc w:val="center"/>
              <w:rPr>
                <w:rFonts w:hint="eastAsia" w:ascii="仿宋_GB2312" w:hAnsi="仿宋_GB2312" w:cs="仿宋_GB2312"/>
                <w:color w:val="auto"/>
                <w:sz w:val="24"/>
                <w:szCs w:val="24"/>
              </w:rPr>
            </w:pPr>
            <w:r>
              <w:rPr>
                <w:rFonts w:hint="eastAsia" w:ascii="仿宋_GB2312" w:hAnsi="仿宋_GB2312" w:cs="仿宋_GB2312"/>
                <w:color w:val="auto"/>
                <w:sz w:val="24"/>
                <w:szCs w:val="24"/>
                <w:lang w:val="en-US" w:eastAsia="zh-CN"/>
              </w:rPr>
              <w:t>58.93</w:t>
            </w:r>
            <w:r>
              <w:rPr>
                <w:rFonts w:hint="eastAsia" w:ascii="仿宋_GB2312" w:hAnsi="仿宋_GB2312" w:cs="仿宋_GB2312"/>
                <w:color w:val="auto"/>
                <w:sz w:val="24"/>
                <w:szCs w:val="24"/>
              </w:rPr>
              <w:t>%</w:t>
            </w:r>
          </w:p>
        </w:tc>
        <w:tc>
          <w:tcPr>
            <w:tcW w:w="1125" w:type="dxa"/>
            <w:noWrap w:val="0"/>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27</w:t>
            </w:r>
          </w:p>
        </w:tc>
        <w:tc>
          <w:tcPr>
            <w:tcW w:w="1156" w:type="dxa"/>
            <w:noWrap w:val="0"/>
            <w:vAlign w:val="center"/>
          </w:tcPr>
          <w:p>
            <w:pPr>
              <w:jc w:val="center"/>
              <w:rPr>
                <w:rFonts w:hint="eastAsia" w:ascii="仿宋_GB2312" w:hAnsi="仿宋_GB2312" w:cs="仿宋_GB2312"/>
                <w:color w:val="auto"/>
                <w:sz w:val="24"/>
                <w:szCs w:val="24"/>
              </w:rPr>
            </w:pPr>
            <w:r>
              <w:rPr>
                <w:rFonts w:hint="eastAsia" w:ascii="仿宋_GB2312" w:hAnsi="仿宋_GB2312" w:cs="仿宋_GB2312"/>
                <w:color w:val="auto"/>
                <w:sz w:val="24"/>
                <w:szCs w:val="24"/>
                <w:lang w:val="en-US" w:eastAsia="zh-CN"/>
              </w:rPr>
              <w:t>64.29</w:t>
            </w:r>
            <w:r>
              <w:rPr>
                <w:rFonts w:hint="eastAsia" w:ascii="仿宋_GB2312" w:hAnsi="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091" w:type="dxa"/>
            <w:noWrap w:val="0"/>
            <w:vAlign w:val="center"/>
          </w:tcPr>
          <w:p>
            <w:pPr>
              <w:jc w:val="center"/>
              <w:rPr>
                <w:rFonts w:hint="eastAsia" w:ascii="仿宋_GB2312" w:hAnsi="仿宋_GB2312" w:cs="仿宋_GB2312"/>
                <w:color w:val="auto"/>
                <w:sz w:val="24"/>
                <w:szCs w:val="24"/>
              </w:rPr>
            </w:pPr>
            <w:r>
              <w:rPr>
                <w:rFonts w:hint="eastAsia" w:ascii="仿宋_GB2312" w:hAnsi="仿宋_GB2312" w:cs="仿宋_GB2312"/>
                <w:color w:val="auto"/>
                <w:sz w:val="24"/>
                <w:szCs w:val="24"/>
              </w:rPr>
              <w:t>兼职教师</w:t>
            </w:r>
          </w:p>
        </w:tc>
        <w:tc>
          <w:tcPr>
            <w:tcW w:w="1355" w:type="dxa"/>
            <w:noWrap w:val="0"/>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20</w:t>
            </w:r>
          </w:p>
        </w:tc>
        <w:tc>
          <w:tcPr>
            <w:tcW w:w="1185" w:type="dxa"/>
            <w:noWrap w:val="0"/>
            <w:vAlign w:val="center"/>
          </w:tcPr>
          <w:p>
            <w:pPr>
              <w:jc w:val="center"/>
              <w:rPr>
                <w:rFonts w:hint="eastAsia" w:ascii="仿宋_GB2312" w:hAnsi="仿宋_GB2312" w:cs="仿宋_GB2312"/>
                <w:color w:val="auto"/>
                <w:sz w:val="24"/>
                <w:szCs w:val="24"/>
              </w:rPr>
            </w:pPr>
            <w:r>
              <w:rPr>
                <w:rFonts w:hint="eastAsia" w:ascii="仿宋_GB2312" w:hAnsi="仿宋_GB2312" w:cs="仿宋_GB2312"/>
                <w:color w:val="auto"/>
                <w:sz w:val="24"/>
                <w:szCs w:val="24"/>
                <w:lang w:val="en-US" w:eastAsia="zh-CN"/>
              </w:rPr>
              <w:t>21.51</w:t>
            </w:r>
            <w:r>
              <w:rPr>
                <w:rFonts w:hint="eastAsia" w:ascii="仿宋_GB2312" w:hAnsi="仿宋_GB2312" w:cs="仿宋_GB2312"/>
                <w:color w:val="auto"/>
                <w:sz w:val="24"/>
                <w:szCs w:val="24"/>
              </w:rPr>
              <w:t>%</w:t>
            </w:r>
          </w:p>
        </w:tc>
        <w:tc>
          <w:tcPr>
            <w:tcW w:w="1125" w:type="dxa"/>
            <w:noWrap w:val="0"/>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rPr>
              <w:t>1</w:t>
            </w:r>
            <w:r>
              <w:rPr>
                <w:rFonts w:hint="eastAsia" w:ascii="仿宋_GB2312" w:hAnsi="仿宋_GB2312" w:cs="仿宋_GB2312"/>
                <w:color w:val="auto"/>
                <w:sz w:val="24"/>
                <w:szCs w:val="24"/>
                <w:lang w:val="en-US" w:eastAsia="zh-CN"/>
              </w:rPr>
              <w:t>1</w:t>
            </w:r>
          </w:p>
        </w:tc>
        <w:tc>
          <w:tcPr>
            <w:tcW w:w="1156" w:type="dxa"/>
            <w:noWrap w:val="0"/>
            <w:vAlign w:val="center"/>
          </w:tcPr>
          <w:p>
            <w:pPr>
              <w:jc w:val="center"/>
              <w:rPr>
                <w:rFonts w:hint="eastAsia" w:ascii="仿宋_GB2312" w:hAnsi="仿宋_GB2312" w:cs="仿宋_GB2312"/>
                <w:color w:val="auto"/>
                <w:sz w:val="24"/>
                <w:szCs w:val="24"/>
              </w:rPr>
            </w:pPr>
            <w:r>
              <w:rPr>
                <w:rFonts w:hint="eastAsia" w:ascii="仿宋_GB2312" w:hAnsi="仿宋_GB2312" w:cs="仿宋_GB2312"/>
                <w:color w:val="auto"/>
                <w:sz w:val="24"/>
                <w:szCs w:val="24"/>
              </w:rPr>
              <w:t>1</w:t>
            </w:r>
            <w:r>
              <w:rPr>
                <w:rFonts w:hint="eastAsia" w:ascii="仿宋_GB2312" w:hAnsi="仿宋_GB2312" w:cs="仿宋_GB2312"/>
                <w:color w:val="auto"/>
                <w:sz w:val="24"/>
                <w:szCs w:val="24"/>
                <w:lang w:val="en-US" w:eastAsia="zh-CN"/>
              </w:rPr>
              <w:t>4.10</w:t>
            </w:r>
            <w:r>
              <w:rPr>
                <w:rFonts w:hint="eastAsia" w:ascii="仿宋_GB2312" w:hAnsi="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091" w:type="dxa"/>
            <w:noWrap w:val="0"/>
            <w:vAlign w:val="center"/>
          </w:tcPr>
          <w:p>
            <w:pPr>
              <w:jc w:val="center"/>
              <w:rPr>
                <w:rFonts w:hint="eastAsia" w:ascii="仿宋_GB2312" w:hAnsi="仿宋_GB2312" w:cs="仿宋_GB2312"/>
                <w:color w:val="auto"/>
                <w:sz w:val="24"/>
                <w:szCs w:val="24"/>
              </w:rPr>
            </w:pPr>
            <w:r>
              <w:rPr>
                <w:rFonts w:hint="eastAsia" w:ascii="仿宋_GB2312" w:hAnsi="仿宋_GB2312" w:cs="仿宋_GB2312"/>
                <w:color w:val="auto"/>
                <w:sz w:val="24"/>
                <w:szCs w:val="24"/>
              </w:rPr>
              <w:t>专任教师本科以上学历</w:t>
            </w:r>
          </w:p>
        </w:tc>
        <w:tc>
          <w:tcPr>
            <w:tcW w:w="1355" w:type="dxa"/>
            <w:noWrap w:val="0"/>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75</w:t>
            </w:r>
          </w:p>
        </w:tc>
        <w:tc>
          <w:tcPr>
            <w:tcW w:w="1185" w:type="dxa"/>
            <w:noWrap w:val="0"/>
            <w:vAlign w:val="center"/>
          </w:tcPr>
          <w:p>
            <w:pPr>
              <w:jc w:val="center"/>
              <w:rPr>
                <w:rFonts w:hint="eastAsia" w:ascii="仿宋_GB2312" w:hAnsi="仿宋_GB2312" w:cs="仿宋_GB2312"/>
                <w:color w:val="auto"/>
                <w:sz w:val="24"/>
                <w:szCs w:val="24"/>
              </w:rPr>
            </w:pPr>
            <w:r>
              <w:rPr>
                <w:rFonts w:hint="eastAsia" w:ascii="仿宋_GB2312" w:hAnsi="仿宋_GB2312" w:cs="仿宋_GB2312"/>
                <w:color w:val="auto"/>
                <w:sz w:val="24"/>
                <w:szCs w:val="24"/>
                <w:lang w:val="en-US" w:eastAsia="zh-CN"/>
              </w:rPr>
              <w:t>80.65</w:t>
            </w:r>
            <w:r>
              <w:rPr>
                <w:rFonts w:hint="eastAsia" w:ascii="仿宋_GB2312" w:hAnsi="仿宋_GB2312" w:cs="仿宋_GB2312"/>
                <w:color w:val="auto"/>
                <w:sz w:val="24"/>
                <w:szCs w:val="24"/>
              </w:rPr>
              <w:t>%</w:t>
            </w:r>
          </w:p>
        </w:tc>
        <w:tc>
          <w:tcPr>
            <w:tcW w:w="1125" w:type="dxa"/>
            <w:noWrap w:val="0"/>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rPr>
              <w:t>6</w:t>
            </w:r>
            <w:r>
              <w:rPr>
                <w:rFonts w:hint="eastAsia" w:ascii="仿宋_GB2312" w:hAnsi="仿宋_GB2312" w:cs="仿宋_GB2312"/>
                <w:color w:val="auto"/>
                <w:sz w:val="24"/>
                <w:szCs w:val="24"/>
                <w:lang w:val="en-US" w:eastAsia="zh-CN"/>
              </w:rPr>
              <w:t>6</w:t>
            </w:r>
          </w:p>
        </w:tc>
        <w:tc>
          <w:tcPr>
            <w:tcW w:w="1156" w:type="dxa"/>
            <w:noWrap w:val="0"/>
            <w:vAlign w:val="center"/>
          </w:tcPr>
          <w:p>
            <w:pPr>
              <w:jc w:val="center"/>
              <w:rPr>
                <w:rFonts w:hint="eastAsia" w:ascii="仿宋_GB2312" w:hAnsi="仿宋_GB2312" w:cs="仿宋_GB2312"/>
                <w:color w:val="auto"/>
                <w:sz w:val="24"/>
                <w:szCs w:val="24"/>
              </w:rPr>
            </w:pPr>
            <w:r>
              <w:rPr>
                <w:rFonts w:hint="eastAsia" w:ascii="仿宋_GB2312" w:hAnsi="仿宋_GB2312" w:cs="仿宋_GB2312"/>
                <w:color w:val="auto"/>
                <w:sz w:val="24"/>
                <w:szCs w:val="24"/>
                <w:lang w:val="en-US" w:eastAsia="zh-CN"/>
              </w:rPr>
              <w:t>84.62</w:t>
            </w:r>
            <w:r>
              <w:rPr>
                <w:rFonts w:hint="eastAsia" w:ascii="仿宋_GB2312" w:hAnsi="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091" w:type="dxa"/>
            <w:noWrap w:val="0"/>
            <w:vAlign w:val="center"/>
          </w:tcPr>
          <w:p>
            <w:pPr>
              <w:jc w:val="center"/>
              <w:rPr>
                <w:rFonts w:hint="eastAsia" w:ascii="仿宋_GB2312" w:hAnsi="仿宋_GB2312" w:cs="仿宋_GB2312"/>
                <w:color w:val="auto"/>
                <w:sz w:val="24"/>
                <w:szCs w:val="24"/>
              </w:rPr>
            </w:pPr>
            <w:r>
              <w:rPr>
                <w:rFonts w:hint="eastAsia" w:ascii="仿宋_GB2312" w:hAnsi="仿宋_GB2312" w:cs="仿宋_GB2312"/>
                <w:color w:val="auto"/>
                <w:sz w:val="24"/>
                <w:szCs w:val="24"/>
              </w:rPr>
              <w:t>专任教师硕士以上学历</w:t>
            </w:r>
          </w:p>
        </w:tc>
        <w:tc>
          <w:tcPr>
            <w:tcW w:w="1355" w:type="dxa"/>
            <w:noWrap w:val="0"/>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4</w:t>
            </w:r>
          </w:p>
        </w:tc>
        <w:tc>
          <w:tcPr>
            <w:tcW w:w="1185" w:type="dxa"/>
            <w:noWrap w:val="0"/>
            <w:vAlign w:val="center"/>
          </w:tcPr>
          <w:p>
            <w:pPr>
              <w:jc w:val="center"/>
              <w:rPr>
                <w:rFonts w:hint="eastAsia" w:ascii="仿宋_GB2312" w:hAnsi="仿宋_GB2312" w:cs="仿宋_GB2312"/>
                <w:color w:val="auto"/>
                <w:sz w:val="24"/>
                <w:szCs w:val="24"/>
              </w:rPr>
            </w:pPr>
            <w:r>
              <w:rPr>
                <w:rFonts w:hint="eastAsia" w:ascii="仿宋_GB2312" w:hAnsi="仿宋_GB2312" w:cs="仿宋_GB2312"/>
                <w:color w:val="auto"/>
                <w:sz w:val="24"/>
                <w:szCs w:val="24"/>
                <w:lang w:val="en-US" w:eastAsia="zh-CN"/>
              </w:rPr>
              <w:t>4.30</w:t>
            </w:r>
            <w:r>
              <w:rPr>
                <w:rFonts w:hint="eastAsia" w:ascii="仿宋_GB2312" w:hAnsi="仿宋_GB2312" w:cs="仿宋_GB2312"/>
                <w:color w:val="auto"/>
                <w:sz w:val="24"/>
                <w:szCs w:val="24"/>
              </w:rPr>
              <w:t>%</w:t>
            </w:r>
          </w:p>
        </w:tc>
        <w:tc>
          <w:tcPr>
            <w:tcW w:w="1125" w:type="dxa"/>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cs="仿宋_GB2312"/>
                <w:color w:val="auto"/>
                <w:sz w:val="24"/>
                <w:szCs w:val="24"/>
                <w:lang w:val="en-US" w:eastAsia="zh-CN"/>
              </w:rPr>
              <w:t>4</w:t>
            </w:r>
          </w:p>
        </w:tc>
        <w:tc>
          <w:tcPr>
            <w:tcW w:w="1156" w:type="dxa"/>
            <w:noWrap w:val="0"/>
            <w:vAlign w:val="center"/>
          </w:tcPr>
          <w:p>
            <w:pPr>
              <w:jc w:val="center"/>
              <w:rPr>
                <w:rFonts w:hint="eastAsia" w:ascii="仿宋_GB2312" w:hAnsi="仿宋_GB2312" w:cs="仿宋_GB2312"/>
                <w:color w:val="auto"/>
                <w:sz w:val="24"/>
                <w:szCs w:val="24"/>
              </w:rPr>
            </w:pPr>
            <w:r>
              <w:rPr>
                <w:rFonts w:hint="eastAsia" w:ascii="仿宋_GB2312" w:hAnsi="仿宋_GB2312" w:cs="仿宋_GB2312"/>
                <w:color w:val="auto"/>
                <w:sz w:val="24"/>
                <w:szCs w:val="24"/>
                <w:lang w:val="en-US" w:eastAsia="zh-CN"/>
              </w:rPr>
              <w:t>5.13</w:t>
            </w:r>
            <w:r>
              <w:rPr>
                <w:rFonts w:hint="eastAsia" w:ascii="仿宋_GB2312" w:hAnsi="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091" w:type="dxa"/>
            <w:noWrap w:val="0"/>
            <w:vAlign w:val="center"/>
          </w:tcPr>
          <w:p>
            <w:pPr>
              <w:jc w:val="center"/>
              <w:rPr>
                <w:rFonts w:hint="eastAsia" w:ascii="仿宋_GB2312" w:hAnsi="仿宋_GB2312" w:cs="仿宋_GB2312"/>
                <w:color w:val="auto"/>
                <w:sz w:val="24"/>
                <w:szCs w:val="24"/>
              </w:rPr>
            </w:pPr>
            <w:r>
              <w:rPr>
                <w:rFonts w:hint="eastAsia" w:ascii="仿宋_GB2312" w:hAnsi="仿宋_GB2312" w:cs="仿宋_GB2312"/>
                <w:color w:val="auto"/>
                <w:sz w:val="24"/>
                <w:szCs w:val="24"/>
              </w:rPr>
              <w:t>专任教师高级职称</w:t>
            </w:r>
          </w:p>
        </w:tc>
        <w:tc>
          <w:tcPr>
            <w:tcW w:w="1355" w:type="dxa"/>
            <w:noWrap w:val="0"/>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20</w:t>
            </w:r>
          </w:p>
        </w:tc>
        <w:tc>
          <w:tcPr>
            <w:tcW w:w="1185" w:type="dxa"/>
            <w:noWrap w:val="0"/>
            <w:vAlign w:val="center"/>
          </w:tcPr>
          <w:p>
            <w:pPr>
              <w:jc w:val="center"/>
              <w:rPr>
                <w:rFonts w:hint="eastAsia" w:ascii="仿宋_GB2312" w:hAnsi="仿宋_GB2312" w:cs="仿宋_GB2312"/>
                <w:color w:val="auto"/>
                <w:sz w:val="24"/>
                <w:szCs w:val="24"/>
              </w:rPr>
            </w:pPr>
            <w:r>
              <w:rPr>
                <w:rFonts w:hint="eastAsia" w:ascii="仿宋_GB2312" w:hAnsi="仿宋_GB2312" w:cs="仿宋_GB2312"/>
                <w:color w:val="auto"/>
                <w:sz w:val="24"/>
                <w:szCs w:val="24"/>
              </w:rPr>
              <w:t>2</w:t>
            </w:r>
            <w:r>
              <w:rPr>
                <w:rFonts w:hint="eastAsia" w:ascii="仿宋_GB2312" w:hAnsi="仿宋_GB2312" w:cs="仿宋_GB2312"/>
                <w:color w:val="auto"/>
                <w:sz w:val="24"/>
                <w:szCs w:val="24"/>
                <w:lang w:val="en-US" w:eastAsia="zh-CN"/>
              </w:rPr>
              <w:t>1.51</w:t>
            </w:r>
            <w:r>
              <w:rPr>
                <w:rFonts w:hint="eastAsia" w:ascii="仿宋_GB2312" w:hAnsi="仿宋_GB2312" w:cs="仿宋_GB2312"/>
                <w:color w:val="auto"/>
                <w:sz w:val="24"/>
                <w:szCs w:val="24"/>
              </w:rPr>
              <w:t>%</w:t>
            </w:r>
          </w:p>
        </w:tc>
        <w:tc>
          <w:tcPr>
            <w:tcW w:w="1125" w:type="dxa"/>
            <w:noWrap w:val="0"/>
            <w:vAlign w:val="center"/>
          </w:tcPr>
          <w:p>
            <w:pPr>
              <w:jc w:val="center"/>
              <w:rPr>
                <w:rFonts w:hint="eastAsia" w:ascii="仿宋_GB2312" w:hAnsi="仿宋_GB2312" w:cs="仿宋_GB2312"/>
                <w:color w:val="auto"/>
                <w:sz w:val="24"/>
                <w:szCs w:val="24"/>
              </w:rPr>
            </w:pPr>
            <w:r>
              <w:rPr>
                <w:rFonts w:hint="eastAsia" w:ascii="仿宋_GB2312" w:hAnsi="仿宋_GB2312" w:cs="仿宋_GB2312"/>
                <w:color w:val="auto"/>
                <w:sz w:val="24"/>
                <w:szCs w:val="24"/>
              </w:rPr>
              <w:t>19</w:t>
            </w:r>
          </w:p>
        </w:tc>
        <w:tc>
          <w:tcPr>
            <w:tcW w:w="1156" w:type="dxa"/>
            <w:noWrap w:val="0"/>
            <w:vAlign w:val="center"/>
          </w:tcPr>
          <w:p>
            <w:pPr>
              <w:jc w:val="center"/>
              <w:rPr>
                <w:rFonts w:hint="eastAsia" w:ascii="仿宋_GB2312" w:hAnsi="仿宋_GB2312" w:cs="仿宋_GB2312"/>
                <w:color w:val="auto"/>
                <w:sz w:val="24"/>
                <w:szCs w:val="24"/>
              </w:rPr>
            </w:pPr>
            <w:r>
              <w:rPr>
                <w:rFonts w:hint="eastAsia" w:ascii="仿宋_GB2312" w:hAnsi="仿宋_GB2312" w:cs="仿宋_GB2312"/>
                <w:color w:val="auto"/>
                <w:sz w:val="24"/>
                <w:szCs w:val="24"/>
                <w:lang w:val="en-US" w:eastAsia="zh-CN"/>
              </w:rPr>
              <w:t>24.36</w:t>
            </w:r>
            <w:r>
              <w:rPr>
                <w:rFonts w:hint="eastAsia" w:ascii="仿宋_GB2312" w:hAnsi="仿宋_GB2312" w:cs="仿宋_GB2312"/>
                <w:color w:val="auto"/>
                <w:sz w:val="24"/>
                <w:szCs w:val="24"/>
              </w:rPr>
              <w:t>%</w:t>
            </w:r>
          </w:p>
        </w:tc>
      </w:tr>
    </w:tbl>
    <w:p>
      <w:pPr>
        <w:pStyle w:val="3"/>
        <w:bidi w:val="0"/>
        <w:rPr>
          <w:rFonts w:hint="eastAsia"/>
        </w:rPr>
      </w:pPr>
      <w:bookmarkStart w:id="9" w:name="_Toc20532"/>
      <w:bookmarkStart w:id="10" w:name="_Toc32546"/>
      <w:r>
        <w:rPr>
          <w:rFonts w:hint="eastAsia"/>
        </w:rPr>
        <w:t>1.4设施设备</w:t>
      </w:r>
      <w:bookmarkEnd w:id="9"/>
      <w:bookmarkEnd w:id="10"/>
    </w:p>
    <w:p>
      <w:pPr>
        <w:spacing w:line="560" w:lineRule="exact"/>
        <w:ind w:firstLine="600"/>
        <w:rPr>
          <w:rFonts w:hint="eastAsia" w:ascii="仿宋_GB2312" w:hAnsi="仿宋_GB2312" w:cs="仿宋_GB2312"/>
          <w:color w:val="auto"/>
          <w:sz w:val="32"/>
          <w:szCs w:val="32"/>
        </w:rPr>
      </w:pPr>
      <w:r>
        <w:rPr>
          <w:rFonts w:hint="eastAsia" w:ascii="仿宋_GB2312" w:hAnsi="仿宋_GB2312" w:cs="仿宋_GB2312"/>
          <w:color w:val="auto"/>
          <w:sz w:val="32"/>
          <w:szCs w:val="32"/>
        </w:rPr>
        <w:t>教学仪器设备总值为</w:t>
      </w:r>
      <w:r>
        <w:rPr>
          <w:rFonts w:hint="eastAsia" w:ascii="仿宋_GB2312" w:hAnsi="仿宋_GB2312" w:cs="仿宋_GB2312"/>
          <w:color w:val="auto"/>
          <w:sz w:val="32"/>
          <w:szCs w:val="32"/>
          <w:lang w:val="en-US" w:eastAsia="zh-CN"/>
        </w:rPr>
        <w:t>487</w:t>
      </w:r>
      <w:r>
        <w:rPr>
          <w:rFonts w:hint="eastAsia" w:ascii="仿宋_GB2312" w:hAnsi="仿宋_GB2312" w:cs="仿宋_GB2312"/>
          <w:color w:val="auto"/>
          <w:sz w:val="32"/>
          <w:szCs w:val="32"/>
        </w:rPr>
        <w:t>万元，</w:t>
      </w:r>
      <w:r>
        <w:rPr>
          <w:rFonts w:hint="eastAsia" w:ascii="仿宋_GB2312" w:hAnsi="仿宋_GB2312" w:cs="仿宋_GB2312"/>
          <w:color w:val="auto"/>
          <w:sz w:val="32"/>
          <w:szCs w:val="32"/>
          <w:lang w:val="en-US" w:eastAsia="zh-CN"/>
        </w:rPr>
        <w:t>较上年增加92万元</w:t>
      </w:r>
      <w:r>
        <w:rPr>
          <w:rFonts w:hint="eastAsia" w:ascii="仿宋_GB2312" w:hAnsi="仿宋_GB2312" w:cs="仿宋_GB2312"/>
          <w:color w:val="auto"/>
          <w:sz w:val="32"/>
          <w:szCs w:val="32"/>
        </w:rPr>
        <w:t>，生均</w:t>
      </w:r>
      <w:r>
        <w:rPr>
          <w:rFonts w:hint="eastAsia" w:ascii="仿宋_GB2312" w:hAnsi="仿宋_GB2312" w:cs="仿宋_GB2312"/>
          <w:color w:val="auto"/>
          <w:sz w:val="32"/>
          <w:szCs w:val="32"/>
          <w:lang w:val="en-US" w:eastAsia="zh-CN"/>
        </w:rPr>
        <w:t>教学</w:t>
      </w:r>
      <w:r>
        <w:rPr>
          <w:rFonts w:hint="eastAsia" w:ascii="仿宋_GB2312" w:hAnsi="仿宋_GB2312" w:cs="仿宋_GB2312"/>
          <w:color w:val="auto"/>
          <w:sz w:val="32"/>
          <w:szCs w:val="32"/>
        </w:rPr>
        <w:t>仪器设备值</w:t>
      </w:r>
      <w:r>
        <w:rPr>
          <w:rFonts w:hint="eastAsia" w:ascii="仿宋_GB2312" w:hAnsi="仿宋_GB2312" w:cs="仿宋_GB2312"/>
          <w:color w:val="auto"/>
          <w:sz w:val="32"/>
          <w:szCs w:val="32"/>
          <w:lang w:val="en-US" w:eastAsia="zh-CN"/>
        </w:rPr>
        <w:t>3335.62</w:t>
      </w:r>
      <w:r>
        <w:rPr>
          <w:rFonts w:hint="eastAsia" w:ascii="仿宋_GB2312" w:hAnsi="仿宋_GB2312" w:cs="仿宋_GB2312"/>
          <w:color w:val="auto"/>
          <w:sz w:val="32"/>
          <w:szCs w:val="32"/>
        </w:rPr>
        <w:t>元。</w:t>
      </w:r>
      <w:r>
        <w:rPr>
          <w:rFonts w:hint="eastAsia" w:ascii="仿宋_GB2312" w:hAnsi="仿宋_GB2312" w:cs="仿宋_GB2312"/>
          <w:color w:val="auto"/>
          <w:sz w:val="32"/>
          <w:szCs w:val="32"/>
          <w:lang w:val="en-US" w:eastAsia="zh-CN"/>
        </w:rPr>
        <w:t>校外</w:t>
      </w:r>
      <w:r>
        <w:rPr>
          <w:rFonts w:hint="eastAsia" w:ascii="仿宋_GB2312" w:hAnsi="仿宋_GB2312" w:cs="仿宋_GB2312"/>
          <w:color w:val="auto"/>
          <w:sz w:val="32"/>
          <w:szCs w:val="32"/>
        </w:rPr>
        <w:t>专业实训</w:t>
      </w:r>
      <w:r>
        <w:rPr>
          <w:rFonts w:hint="eastAsia" w:ascii="仿宋_GB2312" w:hAnsi="仿宋_GB2312" w:cs="仿宋_GB2312"/>
          <w:color w:val="auto"/>
          <w:sz w:val="32"/>
          <w:szCs w:val="32"/>
          <w:lang w:val="en-US" w:eastAsia="zh-CN"/>
        </w:rPr>
        <w:t>基地11</w:t>
      </w:r>
      <w:r>
        <w:rPr>
          <w:rFonts w:hint="eastAsia" w:ascii="仿宋_GB2312" w:hAnsi="仿宋_GB2312" w:cs="仿宋_GB2312"/>
          <w:color w:val="auto"/>
          <w:sz w:val="32"/>
          <w:szCs w:val="32"/>
        </w:rPr>
        <w:t>个，</w:t>
      </w:r>
      <w:r>
        <w:rPr>
          <w:rFonts w:hint="eastAsia" w:ascii="仿宋_GB2312" w:hAnsi="仿宋_GB2312" w:cs="仿宋_GB2312"/>
          <w:color w:val="auto"/>
          <w:sz w:val="32"/>
          <w:szCs w:val="32"/>
          <w:lang w:val="en-US" w:eastAsia="zh-CN"/>
        </w:rPr>
        <w:t>校内实习实训基地9个，</w:t>
      </w:r>
      <w:r>
        <w:rPr>
          <w:rFonts w:hint="eastAsia" w:ascii="仿宋_GB2312" w:hAnsi="仿宋_GB2312" w:cs="仿宋_GB2312"/>
          <w:color w:val="auto"/>
          <w:sz w:val="32"/>
          <w:szCs w:val="32"/>
        </w:rPr>
        <w:t>实训工位11</w:t>
      </w:r>
      <w:r>
        <w:rPr>
          <w:rFonts w:hint="eastAsia" w:ascii="仿宋_GB2312" w:hAnsi="仿宋_GB2312" w:cs="仿宋_GB2312"/>
          <w:color w:val="auto"/>
          <w:sz w:val="32"/>
          <w:szCs w:val="32"/>
          <w:lang w:val="en-US" w:eastAsia="zh-CN"/>
        </w:rPr>
        <w:t>75</w:t>
      </w:r>
      <w:r>
        <w:rPr>
          <w:rFonts w:hint="eastAsia" w:ascii="仿宋_GB2312" w:hAnsi="仿宋_GB2312" w:cs="仿宋_GB2312"/>
          <w:color w:val="auto"/>
          <w:sz w:val="32"/>
          <w:szCs w:val="32"/>
        </w:rPr>
        <w:t>个</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与去年持平</w:t>
      </w:r>
      <w:r>
        <w:rPr>
          <w:rFonts w:hint="eastAsia" w:ascii="仿宋_GB2312" w:hAnsi="仿宋_GB2312" w:cs="仿宋_GB2312"/>
          <w:color w:val="auto"/>
          <w:sz w:val="32"/>
          <w:szCs w:val="32"/>
        </w:rPr>
        <w:t>。学校图书馆纸质藏书量共3.</w:t>
      </w:r>
      <w:r>
        <w:rPr>
          <w:rFonts w:hint="eastAsia" w:ascii="仿宋_GB2312" w:hAnsi="仿宋_GB2312" w:cs="仿宋_GB2312"/>
          <w:color w:val="auto"/>
          <w:sz w:val="32"/>
          <w:szCs w:val="32"/>
          <w:lang w:val="en-US" w:eastAsia="zh-CN"/>
        </w:rPr>
        <w:t>8</w:t>
      </w:r>
      <w:r>
        <w:rPr>
          <w:rFonts w:hint="eastAsia" w:ascii="仿宋_GB2312" w:hAnsi="仿宋_GB2312" w:cs="仿宋_GB2312"/>
          <w:color w:val="auto"/>
          <w:sz w:val="32"/>
          <w:szCs w:val="32"/>
        </w:rPr>
        <w:t>万册，纸质图书生均数2</w:t>
      </w:r>
      <w:r>
        <w:rPr>
          <w:rFonts w:hint="eastAsia" w:ascii="仿宋_GB2312" w:hAnsi="仿宋_GB2312" w:cs="仿宋_GB2312"/>
          <w:color w:val="auto"/>
          <w:sz w:val="32"/>
          <w:szCs w:val="32"/>
          <w:lang w:val="en-US" w:eastAsia="zh-CN"/>
        </w:rPr>
        <w:t>6</w:t>
      </w:r>
      <w:r>
        <w:rPr>
          <w:rFonts w:hint="eastAsia" w:ascii="仿宋_GB2312" w:hAnsi="仿宋_GB2312" w:cs="仿宋_GB2312"/>
          <w:color w:val="auto"/>
          <w:sz w:val="32"/>
          <w:szCs w:val="32"/>
        </w:rPr>
        <w:t>册。</w:t>
      </w:r>
    </w:p>
    <w:p>
      <w:pPr>
        <w:pStyle w:val="2"/>
        <w:bidi w:val="0"/>
        <w:rPr>
          <w:rFonts w:hint="eastAsia"/>
        </w:rPr>
      </w:pPr>
      <w:bookmarkStart w:id="11" w:name="_Toc21776"/>
      <w:bookmarkStart w:id="12" w:name="_Toc893"/>
      <w:r>
        <w:rPr>
          <w:rFonts w:hint="eastAsia"/>
          <w:lang w:val="en-US" w:eastAsia="zh-CN"/>
        </w:rPr>
        <w:t>2.</w:t>
      </w:r>
      <w:r>
        <w:rPr>
          <w:rFonts w:hint="eastAsia"/>
        </w:rPr>
        <w:t>学生发展</w:t>
      </w:r>
      <w:bookmarkEnd w:id="11"/>
      <w:bookmarkEnd w:id="12"/>
    </w:p>
    <w:p>
      <w:pPr>
        <w:pStyle w:val="3"/>
        <w:bidi w:val="0"/>
        <w:rPr>
          <w:rFonts w:hint="eastAsia"/>
        </w:rPr>
      </w:pPr>
      <w:bookmarkStart w:id="13" w:name="_Toc4263"/>
      <w:bookmarkStart w:id="14" w:name="_Toc23273"/>
      <w:r>
        <w:rPr>
          <w:rFonts w:hint="eastAsia"/>
        </w:rPr>
        <w:t>2.1学生素质</w:t>
      </w:r>
      <w:bookmarkEnd w:id="13"/>
      <w:bookmarkEnd w:id="14"/>
    </w:p>
    <w:p>
      <w:pPr>
        <w:pStyle w:val="26"/>
        <w:bidi w:val="0"/>
        <w:rPr>
          <w:rFonts w:hint="eastAsia"/>
          <w:lang w:val="en-US" w:eastAsia="zh-CN"/>
        </w:rPr>
      </w:pPr>
      <w:bookmarkStart w:id="15" w:name="_Toc28000"/>
      <w:r>
        <w:rPr>
          <w:rFonts w:hint="eastAsia"/>
          <w:lang w:val="en-US" w:eastAsia="zh-CN"/>
        </w:rPr>
        <w:t>2.1.1思想政治状况</w:t>
      </w:r>
      <w:bookmarkEnd w:id="15"/>
    </w:p>
    <w:p>
      <w:pPr>
        <w:pStyle w:val="26"/>
        <w:bidi w:val="0"/>
        <w:rPr>
          <w:rFonts w:hint="eastAsia"/>
          <w:lang w:val="en-US" w:eastAsia="zh-CN"/>
        </w:rPr>
      </w:pPr>
      <w:bookmarkStart w:id="16" w:name="_Toc22837"/>
      <w:r>
        <w:rPr>
          <w:rFonts w:hint="eastAsia"/>
          <w:lang w:val="en-US" w:eastAsia="zh-CN"/>
        </w:rPr>
        <w:t>学校以立德树人为根本任务，坚持职业精神与职业技能培养相融合、职业道德与专业技能培养并重，注重学生思想道德素质的培养。深入开展社会主义核心价值观教育；以建党一百周年纪念活动为契机，开展了“学党史，强信念，跟党走”为主题的党史学习教育和丰富的实践活动，通过活动让学生了解党的历史、熟知党的奋斗历程，培养广大学生爱党、爱国的高尚情怀。以文明城市和文明校园创建为抓手，大力开展养成教育，引导学会做人、学会做事、学生合作、学会学习、学会生存、学会感恩；形成了学校、家庭、社会三位一体的德育工作网络，学生综合素养显著提高。</w:t>
      </w:r>
      <w:bookmarkEnd w:id="16"/>
    </w:p>
    <w:p>
      <w:pPr>
        <w:pStyle w:val="26"/>
        <w:bidi w:val="0"/>
        <w:rPr>
          <w:rFonts w:hint="eastAsia"/>
          <w:lang w:val="en-US" w:eastAsia="zh-CN"/>
        </w:rPr>
      </w:pPr>
      <w:bookmarkStart w:id="17" w:name="_Toc9145"/>
      <w:r>
        <w:rPr>
          <w:rFonts w:hint="eastAsia"/>
          <w:lang w:val="en-US" w:eastAsia="zh-CN"/>
        </w:rPr>
        <w:t>2.1.2文化课合格率</w:t>
      </w:r>
      <w:bookmarkEnd w:id="17"/>
    </w:p>
    <w:p>
      <w:pPr>
        <w:spacing w:line="560" w:lineRule="exact"/>
        <w:ind w:firstLine="600"/>
        <w:rPr>
          <w:rFonts w:hint="eastAsia" w:ascii="仿宋_GB2312" w:hAnsi="仿宋_GB2312" w:cs="仿宋_GB2312"/>
          <w:color w:val="auto"/>
          <w:sz w:val="32"/>
          <w:szCs w:val="32"/>
        </w:rPr>
      </w:pPr>
      <w:r>
        <w:rPr>
          <w:rFonts w:hint="eastAsia" w:ascii="仿宋_GB2312" w:hAnsi="仿宋_GB2312" w:cs="仿宋_GB2312"/>
          <w:color w:val="auto"/>
          <w:sz w:val="32"/>
          <w:szCs w:val="32"/>
        </w:rPr>
        <w:t>学校依据《中等职业学校语文等七门公共基础课教学大纲》开设文化课程，包括德育课、语文、数学、英语、计算机基础、体育、公共艺术课程。</w:t>
      </w:r>
    </w:p>
    <w:p>
      <w:pPr>
        <w:spacing w:line="560" w:lineRule="exact"/>
        <w:ind w:firstLine="600"/>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rPr>
        <w:t>学校本着“基础、实用、够用”为基准，坚持“寓教于乐、强化学法指导、注重成功体验”等方法，提高学生对文化基础课程学习的热情和效果。在202</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年度，教务处组织</w:t>
      </w:r>
      <w:r>
        <w:rPr>
          <w:rFonts w:hint="eastAsia" w:ascii="仿宋_GB2312" w:hAnsi="仿宋_GB2312" w:cs="仿宋_GB2312"/>
          <w:color w:val="auto"/>
          <w:sz w:val="32"/>
          <w:szCs w:val="32"/>
          <w:lang w:val="en-US" w:eastAsia="zh-CN"/>
        </w:rPr>
        <w:t>校级优质课</w:t>
      </w:r>
      <w:r>
        <w:rPr>
          <w:rFonts w:hint="eastAsia" w:ascii="仿宋_GB2312" w:hAnsi="仿宋_GB2312" w:cs="仿宋_GB2312"/>
          <w:color w:val="auto"/>
          <w:sz w:val="32"/>
          <w:szCs w:val="32"/>
        </w:rPr>
        <w:t>观摩活动</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提升全体文化基础课教师共同提升教学业务。</w:t>
      </w:r>
      <w:r>
        <w:rPr>
          <w:rFonts w:hint="eastAsia" w:ascii="仿宋_GB2312" w:hAnsi="仿宋_GB2312" w:cs="仿宋_GB2312"/>
          <w:color w:val="auto"/>
          <w:sz w:val="32"/>
          <w:szCs w:val="32"/>
          <w:lang w:val="en-US" w:eastAsia="zh-CN"/>
        </w:rPr>
        <w:t>学生文化课合格率在97.5%。</w:t>
      </w:r>
    </w:p>
    <w:p>
      <w:pPr>
        <w:pStyle w:val="26"/>
        <w:bidi w:val="0"/>
        <w:rPr>
          <w:rFonts w:hint="default"/>
          <w:lang w:val="en-US" w:eastAsia="zh-CN"/>
        </w:rPr>
      </w:pPr>
      <w:bookmarkStart w:id="18" w:name="_Toc29462"/>
      <w:r>
        <w:rPr>
          <w:rFonts w:hint="eastAsia"/>
          <w:lang w:val="en-US" w:eastAsia="zh-CN"/>
        </w:rPr>
        <w:t>2.1.3专业技能合格率</w:t>
      </w:r>
      <w:bookmarkEnd w:id="18"/>
    </w:p>
    <w:p>
      <w:pPr>
        <w:spacing w:line="560" w:lineRule="exact"/>
        <w:ind w:firstLine="600"/>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rPr>
        <w:t>学校以立德树人为根本任务，</w:t>
      </w:r>
      <w:r>
        <w:rPr>
          <w:rFonts w:hint="eastAsia" w:ascii="仿宋_GB2312" w:hAnsi="仿宋_GB2312" w:cs="仿宋_GB2312"/>
          <w:color w:val="auto"/>
          <w:sz w:val="32"/>
          <w:szCs w:val="32"/>
          <w:lang w:val="en-US" w:eastAsia="zh-CN"/>
        </w:rPr>
        <w:t>结合不同专业人才培养方案，以大赛为抓手，营造“以赛促教”、“以赛促学”的良好氛围，开展专业技能考核，本年度，学生专业技能合格率98%。</w:t>
      </w:r>
    </w:p>
    <w:p>
      <w:pPr>
        <w:pStyle w:val="26"/>
        <w:bidi w:val="0"/>
        <w:rPr>
          <w:rFonts w:hint="default"/>
          <w:lang w:val="en-US" w:eastAsia="zh-CN"/>
        </w:rPr>
      </w:pPr>
      <w:bookmarkStart w:id="19" w:name="_Toc11628"/>
      <w:r>
        <w:rPr>
          <w:rFonts w:hint="eastAsia"/>
          <w:lang w:val="en-US" w:eastAsia="zh-CN"/>
        </w:rPr>
        <w:t>2.1.4体质测评合格率</w:t>
      </w:r>
      <w:bookmarkEnd w:id="19"/>
    </w:p>
    <w:p>
      <w:pPr>
        <w:spacing w:line="560" w:lineRule="exact"/>
        <w:ind w:firstLine="600"/>
        <w:rPr>
          <w:rFonts w:hint="default" w:ascii="仿宋_GB2312" w:hAnsi="仿宋_GB2312" w:cs="仿宋_GB2312"/>
          <w:color w:val="auto"/>
          <w:sz w:val="32"/>
          <w:szCs w:val="32"/>
          <w:lang w:val="en-US" w:eastAsia="zh-CN"/>
        </w:rPr>
      </w:pPr>
      <w:r>
        <w:rPr>
          <w:rFonts w:hint="default" w:ascii="仿宋_GB2312" w:hAnsi="仿宋_GB2312" w:cs="仿宋_GB2312"/>
          <w:color w:val="auto"/>
          <w:sz w:val="32"/>
          <w:szCs w:val="32"/>
          <w:lang w:val="en-US" w:eastAsia="zh-CN"/>
        </w:rPr>
        <w:t>202</w:t>
      </w:r>
      <w:r>
        <w:rPr>
          <w:rFonts w:hint="eastAsia" w:ascii="仿宋_GB2312" w:hAnsi="仿宋_GB2312" w:cs="仿宋_GB2312"/>
          <w:color w:val="auto"/>
          <w:sz w:val="32"/>
          <w:szCs w:val="32"/>
          <w:lang w:val="en-US" w:eastAsia="zh-CN"/>
        </w:rPr>
        <w:t>1</w:t>
      </w:r>
      <w:r>
        <w:rPr>
          <w:rFonts w:hint="default" w:ascii="仿宋_GB2312" w:hAnsi="仿宋_GB2312" w:cs="仿宋_GB2312"/>
          <w:color w:val="auto"/>
          <w:sz w:val="32"/>
          <w:szCs w:val="32"/>
          <w:lang w:val="en-US" w:eastAsia="zh-CN"/>
        </w:rPr>
        <w:t>年，学校按照国家教育部、国家体育总局颁布的《学生体质健康标准》，对全体学生进行测评，并将测评结果与学生的评优挂钩。学校通过上好体育课，结合军事训练内容、趣味运动会、篮球比赛、早操等方式，提高学生体能，为学生适应职业岗位提供保障。我校202</w:t>
      </w:r>
      <w:r>
        <w:rPr>
          <w:rFonts w:hint="eastAsia" w:ascii="仿宋_GB2312" w:hAnsi="仿宋_GB2312" w:cs="仿宋_GB2312"/>
          <w:color w:val="auto"/>
          <w:sz w:val="32"/>
          <w:szCs w:val="32"/>
          <w:lang w:val="en-US" w:eastAsia="zh-CN"/>
        </w:rPr>
        <w:t>1</w:t>
      </w:r>
      <w:r>
        <w:rPr>
          <w:rFonts w:hint="default" w:ascii="仿宋_GB2312" w:hAnsi="仿宋_GB2312" w:cs="仿宋_GB2312"/>
          <w:color w:val="auto"/>
          <w:sz w:val="32"/>
          <w:szCs w:val="32"/>
          <w:lang w:val="en-US" w:eastAsia="zh-CN"/>
        </w:rPr>
        <w:t>年度学生体质测评</w:t>
      </w:r>
      <w:r>
        <w:rPr>
          <w:rFonts w:hint="eastAsia" w:ascii="仿宋_GB2312" w:hAnsi="仿宋_GB2312" w:cs="仿宋_GB2312"/>
          <w:color w:val="auto"/>
          <w:sz w:val="32"/>
          <w:szCs w:val="32"/>
          <w:lang w:val="en-US" w:eastAsia="zh-CN"/>
        </w:rPr>
        <w:t>合格</w:t>
      </w:r>
      <w:r>
        <w:rPr>
          <w:rFonts w:hint="default" w:ascii="仿宋_GB2312" w:hAnsi="仿宋_GB2312" w:cs="仿宋_GB2312"/>
          <w:color w:val="auto"/>
          <w:sz w:val="32"/>
          <w:szCs w:val="32"/>
          <w:lang w:val="en-US" w:eastAsia="zh-CN"/>
        </w:rPr>
        <w:t>率为</w:t>
      </w:r>
      <w:r>
        <w:rPr>
          <w:rFonts w:hint="eastAsia" w:ascii="仿宋_GB2312" w:hAnsi="仿宋_GB2312" w:cs="仿宋_GB2312"/>
          <w:color w:val="auto"/>
          <w:sz w:val="32"/>
          <w:szCs w:val="32"/>
          <w:lang w:val="en-US" w:eastAsia="zh-CN"/>
        </w:rPr>
        <w:t>98.02</w:t>
      </w:r>
      <w:r>
        <w:rPr>
          <w:rFonts w:hint="default" w:ascii="仿宋_GB2312" w:hAnsi="仿宋_GB2312" w:cs="仿宋_GB2312"/>
          <w:color w:val="auto"/>
          <w:sz w:val="32"/>
          <w:szCs w:val="32"/>
          <w:lang w:val="en-US" w:eastAsia="zh-CN"/>
        </w:rPr>
        <w:t>%。</w:t>
      </w:r>
    </w:p>
    <w:p>
      <w:pPr>
        <w:pStyle w:val="26"/>
        <w:bidi w:val="0"/>
        <w:rPr>
          <w:rFonts w:hint="default"/>
          <w:lang w:val="en-US" w:eastAsia="zh-CN"/>
        </w:rPr>
      </w:pPr>
      <w:bookmarkStart w:id="20" w:name="_Toc9619"/>
      <w:r>
        <w:rPr>
          <w:rFonts w:hint="eastAsia"/>
          <w:lang w:val="en-US" w:eastAsia="zh-CN"/>
        </w:rPr>
        <w:t>2.1.5毕业率</w:t>
      </w:r>
      <w:bookmarkEnd w:id="20"/>
    </w:p>
    <w:p>
      <w:pPr>
        <w:spacing w:line="560" w:lineRule="exact"/>
        <w:ind w:firstLine="600"/>
        <w:rPr>
          <w:rFonts w:hint="eastAsia" w:ascii="仿宋_GB2312" w:hAnsi="仿宋_GB2312" w:eastAsia="仿宋_GB2312" w:cs="仿宋_GB2312"/>
          <w:color w:val="auto"/>
          <w:sz w:val="32"/>
          <w:szCs w:val="32"/>
          <w:shd w:val="clear" w:fill="FF0000"/>
          <w:lang w:val="en-US" w:eastAsia="zh-CN"/>
        </w:rPr>
      </w:pPr>
      <w:r>
        <w:rPr>
          <w:rFonts w:hint="default" w:ascii="仿宋_GB2312" w:hAnsi="仿宋_GB2312" w:cs="仿宋_GB2312"/>
          <w:color w:val="auto"/>
          <w:sz w:val="32"/>
          <w:szCs w:val="32"/>
          <w:lang w:val="en-US" w:eastAsia="zh-CN"/>
        </w:rPr>
        <w:t>学校严格执行《中等职业学校学籍管理规定》，加强学生出勤管理、课堂管理、形成性考核管理，202</w:t>
      </w:r>
      <w:r>
        <w:rPr>
          <w:rFonts w:hint="eastAsia" w:ascii="仿宋_GB2312" w:hAnsi="仿宋_GB2312" w:cs="仿宋_GB2312"/>
          <w:color w:val="auto"/>
          <w:sz w:val="32"/>
          <w:szCs w:val="32"/>
          <w:lang w:val="en-US" w:eastAsia="zh-CN"/>
        </w:rPr>
        <w:t>1</w:t>
      </w:r>
      <w:r>
        <w:rPr>
          <w:rFonts w:hint="default" w:ascii="仿宋_GB2312" w:hAnsi="仿宋_GB2312" w:cs="仿宋_GB2312"/>
          <w:color w:val="auto"/>
          <w:sz w:val="32"/>
          <w:szCs w:val="32"/>
          <w:lang w:val="en-US" w:eastAsia="zh-CN"/>
        </w:rPr>
        <w:t>年毕业生为</w:t>
      </w:r>
      <w:r>
        <w:rPr>
          <w:rFonts w:hint="eastAsia" w:ascii="仿宋_GB2312" w:hAnsi="仿宋_GB2312" w:cs="仿宋_GB2312"/>
          <w:color w:val="auto"/>
          <w:sz w:val="32"/>
          <w:szCs w:val="32"/>
          <w:lang w:val="en-US" w:eastAsia="zh-CN"/>
        </w:rPr>
        <w:t>717人。</w:t>
      </w:r>
    </w:p>
    <w:p>
      <w:pPr>
        <w:pStyle w:val="26"/>
        <w:bidi w:val="0"/>
        <w:rPr>
          <w:rFonts w:hint="eastAsia"/>
          <w:lang w:val="en-US" w:eastAsia="zh-CN"/>
        </w:rPr>
      </w:pPr>
      <w:bookmarkStart w:id="21" w:name="_Toc9816"/>
      <w:r>
        <w:rPr>
          <w:rFonts w:hint="eastAsia"/>
          <w:lang w:val="en-US" w:eastAsia="zh-CN"/>
        </w:rPr>
        <w:t>2.1.6资格证书获取比例</w:t>
      </w:r>
      <w:bookmarkEnd w:id="21"/>
    </w:p>
    <w:p>
      <w:pPr>
        <w:spacing w:line="560" w:lineRule="exact"/>
        <w:ind w:firstLine="600"/>
        <w:rPr>
          <w:rFonts w:hint="default" w:ascii="仿宋_GB2312"/>
          <w:sz w:val="32"/>
          <w:szCs w:val="32"/>
          <w:lang w:val="en-US" w:eastAsia="zh-CN"/>
        </w:rPr>
      </w:pPr>
      <w:r>
        <w:rPr>
          <w:rFonts w:hint="eastAsia" w:ascii="仿宋_GB2312"/>
          <w:sz w:val="32"/>
          <w:szCs w:val="32"/>
          <w:lang w:val="en-US" w:eastAsia="zh-CN"/>
        </w:rPr>
        <w:t>本年度未进行“1+X”证书考试。</w:t>
      </w:r>
    </w:p>
    <w:p>
      <w:pPr>
        <w:pStyle w:val="26"/>
        <w:bidi w:val="0"/>
        <w:rPr>
          <w:rFonts w:hint="default"/>
          <w:lang w:val="en-US" w:eastAsia="zh-CN"/>
        </w:rPr>
      </w:pPr>
      <w:bookmarkStart w:id="22" w:name="_Toc3150"/>
      <w:r>
        <w:rPr>
          <w:rFonts w:hint="eastAsia"/>
          <w:lang w:val="en-US" w:eastAsia="zh-CN"/>
        </w:rPr>
        <w:t>2.1.7职业技能大赛获奖情况</w:t>
      </w:r>
      <w:bookmarkEnd w:id="22"/>
    </w:p>
    <w:p>
      <w:pPr>
        <w:spacing w:line="560" w:lineRule="exact"/>
        <w:ind w:firstLine="600"/>
        <w:rPr>
          <w:rFonts w:hint="default" w:ascii="仿宋_GB2312" w:hAnsi="仿宋_GB2312" w:cs="仿宋_GB2312"/>
          <w:color w:val="auto"/>
          <w:sz w:val="32"/>
          <w:szCs w:val="32"/>
          <w:lang w:val="en-US" w:eastAsia="zh-CN"/>
        </w:rPr>
      </w:pPr>
      <w:r>
        <w:rPr>
          <w:rFonts w:hint="default" w:ascii="仿宋_GB2312" w:hAnsi="仿宋_GB2312" w:cs="仿宋_GB2312"/>
          <w:color w:val="auto"/>
          <w:sz w:val="32"/>
          <w:szCs w:val="32"/>
          <w:lang w:val="en-US" w:eastAsia="zh-CN"/>
        </w:rPr>
        <w:t>在202</w:t>
      </w:r>
      <w:r>
        <w:rPr>
          <w:rFonts w:hint="eastAsia" w:ascii="仿宋_GB2312" w:hAnsi="仿宋_GB2312" w:cs="仿宋_GB2312"/>
          <w:color w:val="auto"/>
          <w:sz w:val="32"/>
          <w:szCs w:val="32"/>
          <w:lang w:val="en-US" w:eastAsia="zh-CN"/>
        </w:rPr>
        <w:t>1</w:t>
      </w:r>
      <w:r>
        <w:rPr>
          <w:rFonts w:hint="default" w:ascii="仿宋_GB2312" w:hAnsi="仿宋_GB2312" w:cs="仿宋_GB2312"/>
          <w:color w:val="auto"/>
          <w:sz w:val="32"/>
          <w:szCs w:val="32"/>
          <w:lang w:val="en-US" w:eastAsia="zh-CN"/>
        </w:rPr>
        <w:t>年中等职业教育竞赛系列活动中，我校参赛学生获得省一等奖2人、二等奖3人、三等奖3人；市级一等奖6人、二等奖12人、三等奖10人。</w:t>
      </w:r>
    </w:p>
    <w:p>
      <w:pPr>
        <w:pStyle w:val="3"/>
        <w:bidi w:val="0"/>
        <w:rPr>
          <w:rFonts w:hint="eastAsia"/>
        </w:rPr>
      </w:pPr>
      <w:bookmarkStart w:id="23" w:name="_Toc8782"/>
      <w:bookmarkStart w:id="24" w:name="_Toc30152"/>
      <w:r>
        <w:rPr>
          <w:rFonts w:hint="eastAsia"/>
        </w:rPr>
        <w:t>2.2在校体验</w:t>
      </w:r>
      <w:bookmarkEnd w:id="23"/>
      <w:bookmarkEnd w:id="24"/>
    </w:p>
    <w:p>
      <w:pPr>
        <w:pStyle w:val="26"/>
        <w:bidi w:val="0"/>
        <w:rPr>
          <w:rFonts w:hint="eastAsia"/>
          <w:lang w:val="en-US" w:eastAsia="zh-CN"/>
        </w:rPr>
      </w:pPr>
      <w:bookmarkStart w:id="25" w:name="_Toc10940"/>
      <w:r>
        <w:rPr>
          <w:rFonts w:hint="eastAsia"/>
          <w:lang w:val="en-US" w:eastAsia="zh-CN"/>
        </w:rPr>
        <w:t>2.2.1理论学习满意度</w:t>
      </w:r>
      <w:bookmarkEnd w:id="25"/>
    </w:p>
    <w:p>
      <w:pPr>
        <w:spacing w:line="560" w:lineRule="exact"/>
        <w:ind w:firstLine="600"/>
        <w:rPr>
          <w:rFonts w:hint="eastAsia" w:ascii="仿宋_GB2312"/>
          <w:sz w:val="32"/>
          <w:szCs w:val="32"/>
          <w:lang w:val="en-US" w:eastAsia="zh-CN"/>
        </w:rPr>
      </w:pPr>
      <w:r>
        <w:rPr>
          <w:rFonts w:hint="eastAsia" w:ascii="仿宋_GB2312"/>
          <w:sz w:val="32"/>
          <w:szCs w:val="32"/>
          <w:lang w:val="en-US" w:eastAsia="zh-CN"/>
        </w:rPr>
        <w:t>经调查，学生理论学习满意度为90%。</w:t>
      </w:r>
    </w:p>
    <w:p>
      <w:pPr>
        <w:pStyle w:val="26"/>
        <w:bidi w:val="0"/>
        <w:rPr>
          <w:rFonts w:hint="eastAsia"/>
          <w:lang w:val="en-US" w:eastAsia="zh-CN"/>
        </w:rPr>
      </w:pPr>
      <w:bookmarkStart w:id="26" w:name="_Toc11625"/>
      <w:r>
        <w:rPr>
          <w:rFonts w:hint="eastAsia"/>
          <w:lang w:val="en-US" w:eastAsia="zh-CN"/>
        </w:rPr>
        <w:t>2.2.2专业学习满意度</w:t>
      </w:r>
      <w:bookmarkEnd w:id="26"/>
    </w:p>
    <w:p>
      <w:pPr>
        <w:spacing w:line="560" w:lineRule="exact"/>
        <w:ind w:firstLine="600"/>
        <w:rPr>
          <w:rFonts w:hint="eastAsia" w:ascii="仿宋_GB2312"/>
          <w:sz w:val="32"/>
          <w:szCs w:val="32"/>
          <w:lang w:val="en-US" w:eastAsia="zh-CN"/>
        </w:rPr>
      </w:pPr>
      <w:r>
        <w:rPr>
          <w:rFonts w:hint="default" w:ascii="仿宋_GB2312"/>
          <w:sz w:val="32"/>
          <w:szCs w:val="32"/>
          <w:lang w:val="en-US" w:eastAsia="zh-CN"/>
        </w:rPr>
        <w:t>在专业学习中，学校坚持“理论联系实践、做中学、学中做”的基本思路，加大实践教学课时和项目，尤其注重学生兴趣激励和成功体验，学生的学习热情很高，对于专业学习的满意度为9</w:t>
      </w:r>
      <w:r>
        <w:rPr>
          <w:rFonts w:hint="eastAsia" w:ascii="仿宋_GB2312"/>
          <w:sz w:val="32"/>
          <w:szCs w:val="32"/>
          <w:lang w:val="en-US" w:eastAsia="zh-CN"/>
        </w:rPr>
        <w:t>5</w:t>
      </w:r>
      <w:r>
        <w:rPr>
          <w:rFonts w:hint="default" w:ascii="仿宋_GB2312"/>
          <w:sz w:val="32"/>
          <w:szCs w:val="32"/>
          <w:lang w:val="en-US" w:eastAsia="zh-CN"/>
        </w:rPr>
        <w:t>%</w:t>
      </w:r>
      <w:r>
        <w:rPr>
          <w:rFonts w:hint="eastAsia" w:ascii="仿宋_GB2312"/>
          <w:sz w:val="32"/>
          <w:szCs w:val="32"/>
          <w:lang w:val="en-US" w:eastAsia="zh-CN"/>
        </w:rPr>
        <w:t>。</w:t>
      </w:r>
    </w:p>
    <w:p>
      <w:pPr>
        <w:pStyle w:val="26"/>
        <w:bidi w:val="0"/>
        <w:rPr>
          <w:rFonts w:hint="eastAsia"/>
          <w:lang w:val="en-US" w:eastAsia="zh-CN"/>
        </w:rPr>
      </w:pPr>
      <w:bookmarkStart w:id="27" w:name="_Toc8113"/>
      <w:r>
        <w:rPr>
          <w:rFonts w:hint="eastAsia"/>
          <w:lang w:val="en-US" w:eastAsia="zh-CN"/>
        </w:rPr>
        <w:t>2.2.3实习实训满意度</w:t>
      </w:r>
      <w:bookmarkEnd w:id="2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sz w:val="32"/>
          <w:szCs w:val="32"/>
          <w:lang w:val="en-US" w:eastAsia="zh-CN"/>
        </w:rPr>
      </w:pPr>
      <w:r>
        <w:rPr>
          <w:rFonts w:hint="default" w:ascii="仿宋_GB2312"/>
          <w:sz w:val="32"/>
          <w:szCs w:val="32"/>
          <w:lang w:val="en-US" w:eastAsia="zh-CN"/>
        </w:rPr>
        <w:t>能够基本满足各专业实习实训的需要</w:t>
      </w:r>
      <w:r>
        <w:rPr>
          <w:rFonts w:hint="eastAsia" w:ascii="仿宋_GB2312"/>
          <w:sz w:val="32"/>
          <w:szCs w:val="32"/>
          <w:lang w:val="en-US" w:eastAsia="zh-CN"/>
        </w:rPr>
        <w:t>，</w:t>
      </w:r>
      <w:r>
        <w:rPr>
          <w:rFonts w:hint="default" w:ascii="仿宋_GB2312"/>
          <w:sz w:val="32"/>
          <w:szCs w:val="32"/>
          <w:lang w:val="en-US" w:eastAsia="zh-CN"/>
        </w:rPr>
        <w:t>学生对于校内实训的总体满意率为</w:t>
      </w:r>
      <w:r>
        <w:rPr>
          <w:rFonts w:hint="eastAsia" w:ascii="仿宋_GB2312"/>
          <w:sz w:val="32"/>
          <w:szCs w:val="32"/>
          <w:lang w:val="en-US" w:eastAsia="zh-CN"/>
        </w:rPr>
        <w:t>96</w:t>
      </w:r>
      <w:r>
        <w:rPr>
          <w:rFonts w:hint="default" w:ascii="仿宋_GB2312"/>
          <w:sz w:val="32"/>
          <w:szCs w:val="32"/>
          <w:lang w:val="en-US" w:eastAsia="zh-CN"/>
        </w:rPr>
        <w:t>%。</w:t>
      </w:r>
    </w:p>
    <w:p>
      <w:pPr>
        <w:pStyle w:val="26"/>
        <w:bidi w:val="0"/>
        <w:rPr>
          <w:rFonts w:hint="eastAsia"/>
          <w:lang w:val="en-US" w:eastAsia="zh-CN"/>
        </w:rPr>
      </w:pPr>
      <w:bookmarkStart w:id="28" w:name="_Toc32030"/>
      <w:r>
        <w:rPr>
          <w:rFonts w:hint="eastAsia"/>
          <w:lang w:val="en-US" w:eastAsia="zh-CN"/>
        </w:rPr>
        <w:t>2.2.4校园文化与社团满意度</w:t>
      </w:r>
      <w:bookmarkEnd w:id="2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sz w:val="32"/>
          <w:szCs w:val="32"/>
          <w:lang w:val="en-US" w:eastAsia="zh-CN"/>
        </w:rPr>
      </w:pPr>
      <w:r>
        <w:rPr>
          <w:rFonts w:hint="default" w:ascii="仿宋_GB2312"/>
          <w:sz w:val="32"/>
          <w:szCs w:val="32"/>
          <w:lang w:val="en-US" w:eastAsia="zh-CN"/>
        </w:rPr>
        <w:t>2021年我校认真落实上级部门开展的各项活动，积极营造和谐友爱、团结奋进、学风浓厚的校园文化。社团活动丰富多彩，以活动为载体，在各项社团活动中陶冶情操，提高学习兴趣。社团及兴趣小组共有22个，</w:t>
      </w:r>
      <w:r>
        <w:rPr>
          <w:rFonts w:hint="eastAsia" w:ascii="仿宋_GB2312"/>
          <w:sz w:val="32"/>
          <w:szCs w:val="32"/>
          <w:lang w:val="en-US" w:eastAsia="zh-CN"/>
        </w:rPr>
        <w:t>基本涵盖所有专业门类，校园文化与社团满意度为94%。</w:t>
      </w:r>
    </w:p>
    <w:p>
      <w:pPr>
        <w:pStyle w:val="26"/>
        <w:bidi w:val="0"/>
        <w:rPr>
          <w:rFonts w:hint="eastAsia"/>
          <w:lang w:val="en-US" w:eastAsia="zh-CN"/>
        </w:rPr>
      </w:pPr>
      <w:bookmarkStart w:id="29" w:name="_Toc7805"/>
      <w:r>
        <w:rPr>
          <w:rFonts w:hint="eastAsia"/>
          <w:lang w:val="en-US" w:eastAsia="zh-CN"/>
        </w:rPr>
        <w:t>2.2.5生活满意度</w:t>
      </w:r>
      <w:bookmarkEnd w:id="2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sz w:val="32"/>
          <w:szCs w:val="32"/>
          <w:lang w:val="en-US" w:eastAsia="zh-CN"/>
        </w:rPr>
      </w:pPr>
      <w:r>
        <w:rPr>
          <w:rFonts w:hint="eastAsia" w:ascii="仿宋_GB2312"/>
          <w:sz w:val="32"/>
          <w:szCs w:val="32"/>
          <w:lang w:val="en-US" w:eastAsia="zh-CN"/>
        </w:rPr>
        <w:t>学校始终坚持生活无小事这一宗旨，提升后勤服务水平，寝教室全部安装了冷暖空调，配备直饮水系统，定期召开伙食委员会会议，提升饭菜质量。通过调查，生活满意度为95%。</w:t>
      </w:r>
    </w:p>
    <w:p>
      <w:pPr>
        <w:pStyle w:val="26"/>
        <w:bidi w:val="0"/>
        <w:rPr>
          <w:rFonts w:hint="eastAsia"/>
          <w:lang w:val="en-US" w:eastAsia="zh-CN"/>
        </w:rPr>
      </w:pPr>
      <w:bookmarkStart w:id="30" w:name="_Toc18970"/>
      <w:r>
        <w:rPr>
          <w:rFonts w:hint="eastAsia"/>
          <w:lang w:val="en-US" w:eastAsia="zh-CN"/>
        </w:rPr>
        <w:t>2.2.6校园安全满意度</w:t>
      </w:r>
      <w:bookmarkEnd w:id="3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sz w:val="32"/>
          <w:szCs w:val="32"/>
          <w:lang w:val="en-US" w:eastAsia="zh-CN"/>
        </w:rPr>
      </w:pPr>
      <w:r>
        <w:rPr>
          <w:rFonts w:hint="default" w:ascii="仿宋_GB2312"/>
          <w:sz w:val="32"/>
          <w:szCs w:val="32"/>
          <w:lang w:val="en-US" w:eastAsia="zh-CN"/>
        </w:rPr>
        <w:t>学校安全工作重如山，大如天。我校把安全工作一直作为重中之重来抓。学校设立了安全工作小组，校长为组长，全面负责，下设主要成员， 责任到人</w:t>
      </w:r>
      <w:r>
        <w:rPr>
          <w:rFonts w:hint="eastAsia" w:ascii="仿宋_GB2312"/>
          <w:sz w:val="32"/>
          <w:szCs w:val="32"/>
          <w:lang w:val="en-US" w:eastAsia="zh-CN"/>
        </w:rPr>
        <w:t>、</w:t>
      </w:r>
      <w:r>
        <w:rPr>
          <w:rFonts w:hint="default" w:ascii="仿宋_GB2312"/>
          <w:sz w:val="32"/>
          <w:szCs w:val="32"/>
          <w:lang w:val="en-US" w:eastAsia="zh-CN"/>
        </w:rPr>
        <w:t>各负其责</w:t>
      </w:r>
      <w:r>
        <w:rPr>
          <w:rFonts w:hint="eastAsia" w:ascii="仿宋_GB2312"/>
          <w:sz w:val="32"/>
          <w:szCs w:val="32"/>
          <w:lang w:val="en-US" w:eastAsia="zh-CN"/>
        </w:rPr>
        <w:t>。经调查</w:t>
      </w:r>
      <w:r>
        <w:rPr>
          <w:rFonts w:hint="default" w:ascii="仿宋_GB2312"/>
          <w:sz w:val="32"/>
          <w:szCs w:val="32"/>
          <w:lang w:val="en-US" w:eastAsia="zh-CN"/>
        </w:rPr>
        <w:t>学生对我校的安全管理工作满意度</w:t>
      </w:r>
      <w:r>
        <w:rPr>
          <w:rFonts w:hint="eastAsia" w:ascii="仿宋_GB2312"/>
          <w:sz w:val="32"/>
          <w:szCs w:val="32"/>
          <w:lang w:val="en-US" w:eastAsia="zh-CN"/>
        </w:rPr>
        <w:t>为98</w:t>
      </w:r>
      <w:r>
        <w:rPr>
          <w:rFonts w:hint="default" w:ascii="仿宋_GB2312"/>
          <w:sz w:val="32"/>
          <w:szCs w:val="32"/>
          <w:lang w:val="en-US" w:eastAsia="zh-CN"/>
        </w:rPr>
        <w:t>%</w:t>
      </w:r>
      <w:r>
        <w:rPr>
          <w:rFonts w:hint="eastAsia" w:ascii="仿宋_GB2312"/>
          <w:sz w:val="32"/>
          <w:szCs w:val="32"/>
          <w:lang w:val="en-US" w:eastAsia="zh-CN"/>
        </w:rPr>
        <w:t>。</w:t>
      </w:r>
    </w:p>
    <w:p>
      <w:pPr>
        <w:pStyle w:val="26"/>
        <w:bidi w:val="0"/>
        <w:rPr>
          <w:rFonts w:hint="eastAsia"/>
          <w:lang w:val="en-US" w:eastAsia="zh-CN"/>
        </w:rPr>
      </w:pPr>
      <w:bookmarkStart w:id="31" w:name="_Toc8709"/>
      <w:r>
        <w:rPr>
          <w:rFonts w:hint="eastAsia"/>
          <w:lang w:val="en-US" w:eastAsia="zh-CN"/>
        </w:rPr>
        <w:t>2.2.7毕业生对学校满意度</w:t>
      </w:r>
      <w:bookmarkEnd w:id="3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sz w:val="32"/>
          <w:szCs w:val="32"/>
          <w:lang w:val="en-US" w:eastAsia="zh-CN"/>
        </w:rPr>
      </w:pPr>
      <w:r>
        <w:rPr>
          <w:rFonts w:hint="default" w:ascii="仿宋_GB2312"/>
          <w:sz w:val="32"/>
          <w:szCs w:val="32"/>
          <w:lang w:val="en-US" w:eastAsia="zh-CN"/>
        </w:rPr>
        <w:t>毕业生对学校的满意度调查得出：无法评估率2.3%,不满意率4.5%，毕业生对学校满意度为9</w:t>
      </w:r>
      <w:r>
        <w:rPr>
          <w:rFonts w:hint="eastAsia" w:ascii="仿宋_GB2312"/>
          <w:sz w:val="32"/>
          <w:szCs w:val="32"/>
          <w:lang w:val="en-US" w:eastAsia="zh-CN"/>
        </w:rPr>
        <w:t>3.2</w:t>
      </w:r>
      <w:r>
        <w:rPr>
          <w:rFonts w:hint="default" w:ascii="仿宋_GB2312"/>
          <w:sz w:val="32"/>
          <w:szCs w:val="32"/>
          <w:lang w:val="en-US" w:eastAsia="zh-CN"/>
        </w:rPr>
        <w:t>%。</w:t>
      </w:r>
    </w:p>
    <w:p>
      <w:pPr>
        <w:pStyle w:val="3"/>
        <w:bidi w:val="0"/>
        <w:rPr>
          <w:rFonts w:hint="eastAsia"/>
        </w:rPr>
      </w:pPr>
      <w:bookmarkStart w:id="32" w:name="_Toc30534"/>
      <w:bookmarkStart w:id="33" w:name="_Toc11308"/>
      <w:r>
        <w:rPr>
          <w:rFonts w:hint="eastAsia"/>
        </w:rPr>
        <w:t>2.3资助情况</w:t>
      </w:r>
      <w:bookmarkEnd w:id="32"/>
      <w:bookmarkEnd w:id="33"/>
    </w:p>
    <w:p>
      <w:pPr>
        <w:pStyle w:val="3"/>
        <w:ind w:left="0" w:leftChars="0" w:firstLine="640" w:firstLineChars="200"/>
        <w:rPr>
          <w:rFonts w:hint="eastAsia" w:ascii="仿宋_GB2312" w:hAnsi="仿宋_GB2312" w:eastAsia="仿宋_GB2312" w:cs="仿宋_GB2312"/>
          <w:b w:val="0"/>
          <w:kern w:val="2"/>
          <w:sz w:val="32"/>
          <w:szCs w:val="32"/>
          <w:lang w:val="en-US" w:eastAsia="zh-CN" w:bidi="ar-SA"/>
        </w:rPr>
      </w:pPr>
      <w:bookmarkStart w:id="34" w:name="_Toc12655"/>
      <w:bookmarkStart w:id="35" w:name="_Toc5385"/>
      <w:bookmarkStart w:id="36" w:name="_Toc16083"/>
      <w:r>
        <w:rPr>
          <w:rFonts w:hint="eastAsia" w:ascii="仿宋_GB2312" w:hAnsi="仿宋_GB2312" w:eastAsia="仿宋_GB2312" w:cs="仿宋_GB2312"/>
          <w:b w:val="0"/>
          <w:kern w:val="2"/>
          <w:sz w:val="32"/>
          <w:szCs w:val="32"/>
          <w:lang w:val="en-US" w:eastAsia="zh-CN" w:bidi="ar-SA"/>
        </w:rPr>
        <w:t>学校严格执行国家资助管理政策，全面贯彻国家对中职学生的助学金及精准扶贫相关优惠政策，按照规定程序进行审核把关，办理好学生资助管理工作。抓好年度学生国家资助（包括免学费及国家助学金）的资料收集、整理、录入、审核、面部识别等工作，保证了国家助学金的及时足额发放。2021年，学生免学费率100%，享受人数2049人次，总金额为168.595万元；中职助学金享受人数856人次，金额为85.7万元，资金全部足额到位，并有两名学生获得国家奖学金。此外，学校还为家庭经济状况不太好的学生提供勤工助学岗位，获得相应报酬，用于解决学生生活上的困难。</w:t>
      </w:r>
      <w:bookmarkEnd w:id="34"/>
    </w:p>
    <w:bookmarkEnd w:id="35"/>
    <w:bookmarkEnd w:id="36"/>
    <w:p>
      <w:pPr>
        <w:pStyle w:val="3"/>
        <w:bidi w:val="0"/>
        <w:rPr>
          <w:rFonts w:hint="default"/>
          <w:lang w:val="en-US" w:eastAsia="zh-CN"/>
        </w:rPr>
      </w:pPr>
      <w:bookmarkStart w:id="37" w:name="_Toc30315"/>
      <w:bookmarkStart w:id="38" w:name="_Toc27179"/>
      <w:r>
        <w:rPr>
          <w:rFonts w:hint="eastAsia"/>
          <w:lang w:val="en-US" w:eastAsia="zh-CN"/>
        </w:rPr>
        <w:t>2.4就业质量</w:t>
      </w:r>
      <w:bookmarkEnd w:id="37"/>
      <w:bookmarkEnd w:id="3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毕业生就业率为100%，直接就业率为76.8%，其中对口就业率为28%，平均起薪在2400元/月左右，2021年升入本科6人，升入高职高专130人。</w:t>
      </w:r>
    </w:p>
    <w:p>
      <w:pPr>
        <w:pStyle w:val="3"/>
        <w:bidi w:val="0"/>
        <w:ind w:left="0" w:leftChars="0" w:firstLine="640" w:firstLineChars="200"/>
        <w:rPr>
          <w:rFonts w:hint="eastAsia"/>
        </w:rPr>
      </w:pPr>
      <w:bookmarkStart w:id="39" w:name="_Toc12340"/>
      <w:bookmarkStart w:id="40" w:name="_Toc2907"/>
      <w:r>
        <w:rPr>
          <w:rFonts w:hint="eastAsia"/>
        </w:rPr>
        <w:t>2.5职业发展</w:t>
      </w:r>
      <w:bookmarkEnd w:id="39"/>
      <w:bookmarkEnd w:id="4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在学习能力方面</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各专业通过市场调研，确定人才培养规格和专业培养目标,制定专业培养方案，重构课程体系和确定课程标准，遵循学生的认知规律和职业成长规律，真正形成融合学生人文素养、专业知识、职业技能、职业态度和职业素养的培养体系，其中包含了通过校内外实习实训等递进式、系统式专业实践教学体系，完善1+X证书制度，实现专业技能人才培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在岗位适应能力方面</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学校通过加强实践课教学环节，设计企业需要的课程，通过课程中的目标任务，锻炼学生的职业能力，并通过各类技能大赛，提高学生的专业学习兴趣。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在岗位迁移能力方面</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鼓励各科老师编写校本教材，培养学生一技之长的基础上又一专多能，将教学成果转化为教学资源，促进职业技能和职业精神高度融合，服务学生全面发展，提升技术技能人才培养质量和岗位迁移能力。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在创新创业方面</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学校积极开展职业生涯规划和创新教育活动，每个专业都建立了实践创业项目和基地，具备了较完善的创业创新等竞赛制度，培养了学生创新能力，调动了学生对学习的兴趣和积极性。</w:t>
      </w:r>
    </w:p>
    <w:p>
      <w:pPr>
        <w:pStyle w:val="2"/>
        <w:bidi w:val="0"/>
        <w:rPr>
          <w:rFonts w:hint="eastAsia"/>
        </w:rPr>
      </w:pPr>
      <w:bookmarkStart w:id="41" w:name="_Toc32570"/>
      <w:bookmarkStart w:id="42" w:name="_Toc5843"/>
      <w:r>
        <w:rPr>
          <w:rFonts w:hint="eastAsia"/>
          <w:lang w:val="en-US" w:eastAsia="zh-CN"/>
        </w:rPr>
        <w:t>3.</w:t>
      </w:r>
      <w:r>
        <w:rPr>
          <w:rFonts w:hint="eastAsia"/>
        </w:rPr>
        <w:t>质量保障措施</w:t>
      </w:r>
      <w:bookmarkEnd w:id="41"/>
      <w:bookmarkEnd w:id="42"/>
    </w:p>
    <w:p>
      <w:pPr>
        <w:pStyle w:val="3"/>
        <w:bidi w:val="0"/>
        <w:rPr>
          <w:rFonts w:hint="eastAsia"/>
        </w:rPr>
      </w:pPr>
      <w:bookmarkStart w:id="43" w:name="_Toc6775"/>
      <w:bookmarkStart w:id="44" w:name="_Toc29634"/>
      <w:r>
        <w:rPr>
          <w:rFonts w:hint="eastAsia"/>
        </w:rPr>
        <w:t>3.1专业动态调整</w:t>
      </w:r>
      <w:bookmarkEnd w:id="43"/>
      <w:bookmarkEnd w:id="4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sz w:val="32"/>
          <w:szCs w:val="32"/>
          <w:lang w:val="en-US" w:eastAsia="zh-CN"/>
        </w:rPr>
      </w:pPr>
      <w:r>
        <w:rPr>
          <w:rFonts w:hint="eastAsia"/>
          <w:sz w:val="32"/>
          <w:szCs w:val="32"/>
          <w:lang w:val="en-US" w:eastAsia="zh-CN"/>
        </w:rPr>
        <w:t>根据专业发展和社会需求变化，学校在落实“提质培优”项目中，将重点建设优质专业与专业群发展结合起来，把学分银行与贴近 1+X 试点工作结合起来，提出建设现代农业、信息技术、智能制造、文旅康养四大专业群，统领现有 7 大类专业 11 个专业方向，形成集约化发展，形成了专业发展新动向。并结合国家关于调整专业相关政策，及时修订了人才培养方案。</w:t>
      </w:r>
    </w:p>
    <w:p>
      <w:pPr>
        <w:jc w:val="center"/>
        <w:rPr>
          <w:rFonts w:hint="eastAsia"/>
          <w:sz w:val="32"/>
          <w:szCs w:val="32"/>
          <w:lang w:val="en-US" w:eastAsia="zh-CN"/>
        </w:rPr>
      </w:pPr>
    </w:p>
    <w:p>
      <w:pPr>
        <w:jc w:val="center"/>
        <w:rPr>
          <w:rFonts w:hint="eastAsia"/>
          <w:sz w:val="32"/>
          <w:szCs w:val="32"/>
          <w:lang w:val="en-US" w:eastAsia="zh-CN"/>
        </w:rPr>
      </w:pPr>
    </w:p>
    <w:p>
      <w:pPr>
        <w:jc w:val="center"/>
        <w:rPr>
          <w:rFonts w:hint="eastAsia"/>
          <w:sz w:val="32"/>
          <w:szCs w:val="32"/>
          <w:lang w:val="en-US" w:eastAsia="zh-CN"/>
        </w:rPr>
      </w:pPr>
    </w:p>
    <w:p>
      <w:pPr>
        <w:jc w:val="both"/>
        <w:rPr>
          <w:rFonts w:hint="eastAsia"/>
          <w:sz w:val="32"/>
          <w:szCs w:val="32"/>
          <w:lang w:val="en-US" w:eastAsia="zh-CN"/>
        </w:rPr>
      </w:pPr>
    </w:p>
    <w:p>
      <w:pPr>
        <w:jc w:val="center"/>
        <w:rPr>
          <w:rFonts w:hint="default"/>
          <w:sz w:val="32"/>
          <w:szCs w:val="32"/>
          <w:lang w:val="en-US" w:eastAsia="zh-CN"/>
        </w:rPr>
      </w:pPr>
      <w:r>
        <w:rPr>
          <w:rFonts w:hint="eastAsia"/>
          <w:sz w:val="32"/>
          <w:szCs w:val="32"/>
          <w:lang w:val="en-US" w:eastAsia="zh-CN"/>
        </w:rPr>
        <w:t>表3 专业建设情况统计表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8"/>
        <w:gridCol w:w="2472"/>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专业群</w:t>
            </w:r>
          </w:p>
        </w:tc>
        <w:tc>
          <w:tcPr>
            <w:tcW w:w="247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涵盖专业</w:t>
            </w:r>
          </w:p>
        </w:tc>
        <w:tc>
          <w:tcPr>
            <w:tcW w:w="37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48"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现代农业专业群</w:t>
            </w:r>
          </w:p>
        </w:tc>
        <w:tc>
          <w:tcPr>
            <w:tcW w:w="247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作物生产技术</w:t>
            </w:r>
          </w:p>
        </w:tc>
        <w:tc>
          <w:tcPr>
            <w:tcW w:w="37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4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rPr>
            </w:pPr>
          </w:p>
        </w:tc>
        <w:tc>
          <w:tcPr>
            <w:tcW w:w="247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园林技术</w:t>
            </w:r>
          </w:p>
        </w:tc>
        <w:tc>
          <w:tcPr>
            <w:tcW w:w="37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4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rPr>
            </w:pPr>
          </w:p>
        </w:tc>
        <w:tc>
          <w:tcPr>
            <w:tcW w:w="247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畜禽生产技术</w:t>
            </w:r>
          </w:p>
        </w:tc>
        <w:tc>
          <w:tcPr>
            <w:tcW w:w="37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4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rPr>
            </w:pPr>
          </w:p>
        </w:tc>
        <w:tc>
          <w:tcPr>
            <w:tcW w:w="247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宠物养护与经营</w:t>
            </w:r>
          </w:p>
        </w:tc>
        <w:tc>
          <w:tcPr>
            <w:tcW w:w="37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48"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信息技术专业群</w:t>
            </w:r>
          </w:p>
        </w:tc>
        <w:tc>
          <w:tcPr>
            <w:tcW w:w="247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计算机应用</w:t>
            </w:r>
          </w:p>
        </w:tc>
        <w:tc>
          <w:tcPr>
            <w:tcW w:w="37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4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rPr>
            </w:pPr>
          </w:p>
        </w:tc>
        <w:tc>
          <w:tcPr>
            <w:tcW w:w="247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计算机平面设计</w:t>
            </w:r>
          </w:p>
        </w:tc>
        <w:tc>
          <w:tcPr>
            <w:tcW w:w="37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4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rPr>
            </w:pPr>
          </w:p>
        </w:tc>
        <w:tc>
          <w:tcPr>
            <w:tcW w:w="247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动漫游戏与制作</w:t>
            </w:r>
          </w:p>
        </w:tc>
        <w:tc>
          <w:tcPr>
            <w:tcW w:w="37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48"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智能制造专业群</w:t>
            </w:r>
          </w:p>
        </w:tc>
        <w:tc>
          <w:tcPr>
            <w:tcW w:w="247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汽车运用与维修</w:t>
            </w:r>
          </w:p>
        </w:tc>
        <w:tc>
          <w:tcPr>
            <w:tcW w:w="37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214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rPr>
            </w:pPr>
          </w:p>
        </w:tc>
        <w:tc>
          <w:tcPr>
            <w:tcW w:w="247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汽车美容与装潢</w:t>
            </w:r>
          </w:p>
        </w:tc>
        <w:tc>
          <w:tcPr>
            <w:tcW w:w="37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2020年新增1+X</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汽车油漆调色与喷涂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4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rPr>
            </w:pPr>
          </w:p>
        </w:tc>
        <w:tc>
          <w:tcPr>
            <w:tcW w:w="247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光电仪器制造与维修</w:t>
            </w:r>
          </w:p>
        </w:tc>
        <w:tc>
          <w:tcPr>
            <w:tcW w:w="37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21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文旅康养专业群</w:t>
            </w:r>
          </w:p>
        </w:tc>
        <w:tc>
          <w:tcPr>
            <w:tcW w:w="247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休闲体育服务与管理</w:t>
            </w:r>
          </w:p>
        </w:tc>
        <w:tc>
          <w:tcPr>
            <w:tcW w:w="37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2020年新增1+X</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运动营养咨询与指导</w:t>
            </w:r>
          </w:p>
        </w:tc>
      </w:tr>
    </w:tbl>
    <w:p>
      <w:pPr>
        <w:pStyle w:val="3"/>
        <w:bidi w:val="0"/>
        <w:ind w:left="0" w:leftChars="0" w:firstLine="640" w:firstLineChars="200"/>
        <w:rPr>
          <w:rFonts w:hint="eastAsia"/>
          <w:lang w:val="en-US" w:eastAsia="zh-CN"/>
        </w:rPr>
      </w:pPr>
      <w:bookmarkStart w:id="45" w:name="_Toc30596"/>
      <w:bookmarkStart w:id="46" w:name="_Toc14754"/>
      <w:bookmarkStart w:id="47" w:name="_Toc20504"/>
      <w:r>
        <w:rPr>
          <w:rFonts w:hint="eastAsia"/>
          <w:lang w:val="en-US" w:eastAsia="zh-CN"/>
        </w:rPr>
        <w:t>3.2教育教学改革</w:t>
      </w:r>
      <w:bookmarkEnd w:id="45"/>
      <w:bookmarkEnd w:id="46"/>
    </w:p>
    <w:p>
      <w:pPr>
        <w:pStyle w:val="26"/>
        <w:bidi w:val="0"/>
        <w:ind w:firstLine="720"/>
        <w:rPr>
          <w:rFonts w:hint="eastAsia" w:ascii="Times New Roman" w:hAnsi="Times New Roman"/>
          <w:lang w:val="en-US" w:eastAsia="zh-CN"/>
        </w:rPr>
      </w:pPr>
      <w:bookmarkStart w:id="48" w:name="_Toc495"/>
      <w:r>
        <w:rPr>
          <w:rFonts w:hint="eastAsia" w:ascii="Times New Roman" w:hAnsi="Times New Roman"/>
          <w:lang w:val="en-US" w:eastAsia="zh-CN"/>
        </w:rPr>
        <w:t>学校以社会为大课堂，产教研训相结合，以立足农业，面向三农，服务社会为办学宗旨。学校进一步改善办学条件，培训教师纳米黑板使用</w:t>
      </w:r>
      <w:r>
        <w:rPr>
          <w:rFonts w:hint="eastAsia"/>
          <w:lang w:val="en-US" w:eastAsia="zh-CN"/>
        </w:rPr>
        <w:t>、</w:t>
      </w:r>
      <w:r>
        <w:rPr>
          <w:rFonts w:hint="eastAsia" w:ascii="Times New Roman" w:hAnsi="Times New Roman"/>
          <w:lang w:val="en-US" w:eastAsia="zh-CN"/>
        </w:rPr>
        <w:t>录播室使用，满足了学生校内实习实训，提高办学水平和质量，更新办学理念，使教育质量不断提升。</w:t>
      </w:r>
      <w:bookmarkEnd w:id="48"/>
    </w:p>
    <w:p>
      <w:pPr>
        <w:pStyle w:val="26"/>
        <w:bidi w:val="0"/>
        <w:ind w:firstLine="720"/>
        <w:rPr>
          <w:rFonts w:hint="eastAsia" w:ascii="Times New Roman" w:hAnsi="Times New Roman"/>
          <w:lang w:val="en-US" w:eastAsia="zh-CN"/>
        </w:rPr>
      </w:pPr>
      <w:bookmarkStart w:id="49" w:name="_Toc2923"/>
      <w:r>
        <w:rPr>
          <w:rFonts w:hint="eastAsia"/>
          <w:lang w:val="en-US" w:eastAsia="zh-CN"/>
        </w:rPr>
        <w:t>“</w:t>
      </w:r>
      <w:r>
        <w:rPr>
          <w:rFonts w:hint="eastAsia" w:ascii="Times New Roman" w:hAnsi="Times New Roman"/>
          <w:lang w:val="en-US" w:eastAsia="zh-CN"/>
        </w:rPr>
        <w:t>1+X证书</w:t>
      </w:r>
      <w:r>
        <w:rPr>
          <w:rFonts w:hint="eastAsia"/>
          <w:lang w:val="en-US" w:eastAsia="zh-CN"/>
        </w:rPr>
        <w:t>”</w:t>
      </w:r>
      <w:r>
        <w:rPr>
          <w:rFonts w:hint="eastAsia" w:ascii="Times New Roman" w:hAnsi="Times New Roman"/>
          <w:lang w:val="en-US" w:eastAsia="zh-CN"/>
        </w:rPr>
        <w:t>制度是进一步深化复合型技术人才培养模式和评价模式的改革，同时也是承载了推动“三教”改革、学分银行试点等多项改革任务的一种全新的制度设计，通过对“1+X证书”制度的实践，有效推动了校企互动，使学校教育与企业的核心优势相结合，提升了我校人才培养质量、学生的专业技能以及学生的就业竞争力。</w:t>
      </w:r>
      <w:bookmarkEnd w:id="49"/>
    </w:p>
    <w:p>
      <w:pPr>
        <w:pStyle w:val="26"/>
        <w:bidi w:val="0"/>
        <w:ind w:firstLine="720"/>
        <w:rPr>
          <w:rFonts w:hint="eastAsia" w:ascii="Times New Roman" w:hAnsi="Times New Roman"/>
          <w:lang w:val="en-US" w:eastAsia="zh-CN"/>
        </w:rPr>
      </w:pPr>
      <w:bookmarkStart w:id="50" w:name="_Toc30520"/>
      <w:r>
        <w:rPr>
          <w:rFonts w:hint="eastAsia" w:ascii="Times New Roman" w:hAnsi="Times New Roman"/>
          <w:lang w:val="en-US" w:eastAsia="zh-CN"/>
        </w:rPr>
        <w:t>“以赛促教，以赛促学，以赛促改”</w:t>
      </w:r>
      <w:r>
        <w:rPr>
          <w:rFonts w:hint="eastAsia"/>
          <w:lang w:val="en-US" w:eastAsia="zh-CN"/>
        </w:rPr>
        <w:t>，</w:t>
      </w:r>
      <w:r>
        <w:rPr>
          <w:rFonts w:hint="eastAsia" w:ascii="Times New Roman" w:hAnsi="Times New Roman"/>
          <w:lang w:val="en-US" w:eastAsia="zh-CN"/>
        </w:rPr>
        <w:t>转变教学观念，加强对实践教学工作的认识，高度重视实践教学环节，办出职教特色。为提高效率，赛出水平，赛出成绩，学校管理层和指导教师要群策群力，抓住核心，强化管理，不断创新。</w:t>
      </w:r>
      <w:bookmarkEnd w:id="50"/>
    </w:p>
    <w:p>
      <w:pPr>
        <w:pStyle w:val="26"/>
        <w:bidi w:val="0"/>
        <w:ind w:firstLine="720"/>
        <w:rPr>
          <w:rFonts w:hint="eastAsia" w:ascii="Times New Roman" w:hAnsi="Times New Roman"/>
          <w:lang w:val="en-US" w:eastAsia="zh-CN"/>
        </w:rPr>
      </w:pPr>
      <w:bookmarkStart w:id="51" w:name="_Toc19647"/>
      <w:r>
        <w:rPr>
          <w:rFonts w:hint="eastAsia" w:ascii="Times New Roman" w:hAnsi="Times New Roman"/>
          <w:lang w:val="en-US" w:eastAsia="zh-CN"/>
        </w:rPr>
        <w:t>各专业根据自身特点积极开展了培养模式、教学模式的改革探索。如</w:t>
      </w:r>
      <w:r>
        <w:rPr>
          <w:rFonts w:hint="eastAsia"/>
          <w:lang w:val="en-US" w:eastAsia="zh-CN"/>
        </w:rPr>
        <w:t>作物生产技术</w:t>
      </w:r>
      <w:r>
        <w:rPr>
          <w:rFonts w:hint="eastAsia" w:ascii="Times New Roman" w:hAnsi="Times New Roman"/>
          <w:lang w:val="en-US" w:eastAsia="zh-CN"/>
        </w:rPr>
        <w:t>、畜禽生产</w:t>
      </w:r>
      <w:r>
        <w:rPr>
          <w:rFonts w:hint="eastAsia"/>
          <w:lang w:val="en-US" w:eastAsia="zh-CN"/>
        </w:rPr>
        <w:t>技术</w:t>
      </w:r>
      <w:r>
        <w:rPr>
          <w:rFonts w:hint="eastAsia" w:ascii="Times New Roman" w:hAnsi="Times New Roman"/>
          <w:lang w:val="en-US" w:eastAsia="zh-CN"/>
        </w:rPr>
        <w:t>等专业推行“一基础二技能三分流”教学模式改革，加强技能训练，对口升学成绩突出；汽车运用与维修、计算机</w:t>
      </w:r>
      <w:r>
        <w:rPr>
          <w:rFonts w:hint="eastAsia"/>
          <w:lang w:val="en-US" w:eastAsia="zh-CN"/>
        </w:rPr>
        <w:t>平面设计</w:t>
      </w:r>
      <w:r>
        <w:rPr>
          <w:rFonts w:hint="eastAsia" w:ascii="Times New Roman" w:hAnsi="Times New Roman"/>
          <w:lang w:val="en-US" w:eastAsia="zh-CN"/>
        </w:rPr>
        <w:t>专业，把学生应掌握的职业技能以案例形式展现在课堂教学上，大大提高了课堂教学效果；计算机应用专业的专业教师积极编写实用性强的校本教材，紧密联系生产实际，实现“教、学、做”的统一；光电仪器制造与维修、宠物养护与经营、汽车美容与装潢等专业加强校企合作，聘请企业技术骨干到学校授课实习指导，让学生的专业技术和能力逐步与职业岗位、工作过程接轨，彰显了专业教学特色。</w:t>
      </w:r>
      <w:bookmarkEnd w:id="51"/>
    </w:p>
    <w:p>
      <w:pPr>
        <w:pStyle w:val="26"/>
        <w:bidi w:val="0"/>
        <w:ind w:left="0" w:leftChars="0" w:firstLine="0" w:firstLineChars="0"/>
        <w:jc w:val="center"/>
        <w:rPr>
          <w:rFonts w:hint="default" w:ascii="仿宋_GB2312" w:hAnsi="仿宋_GB2312" w:cs="仿宋_GB2312"/>
          <w:color w:val="auto"/>
          <w:sz w:val="32"/>
          <w:szCs w:val="32"/>
          <w:lang w:val="en-US" w:eastAsia="zh-CN"/>
        </w:rPr>
      </w:pPr>
      <w:bookmarkStart w:id="52" w:name="_Toc11345"/>
      <w:r>
        <w:rPr>
          <w:rFonts w:hint="eastAsia"/>
          <w:lang w:val="en-US" w:eastAsia="zh-CN"/>
        </w:rPr>
        <w:t>表4 专任教师情况</w:t>
      </w:r>
      <w:bookmarkEnd w:id="52"/>
    </w:p>
    <w:tbl>
      <w:tblPr>
        <w:tblStyle w:val="11"/>
        <w:tblW w:w="8906" w:type="dxa"/>
        <w:tblInd w:w="0" w:type="dxa"/>
        <w:shd w:val="clear" w:color="auto" w:fill="auto"/>
        <w:tblLayout w:type="fixed"/>
        <w:tblCellMar>
          <w:top w:w="0" w:type="dxa"/>
          <w:left w:w="0" w:type="dxa"/>
          <w:bottom w:w="0" w:type="dxa"/>
          <w:right w:w="0" w:type="dxa"/>
        </w:tblCellMar>
      </w:tblPr>
      <w:tblGrid>
        <w:gridCol w:w="1080"/>
        <w:gridCol w:w="1080"/>
        <w:gridCol w:w="1080"/>
        <w:gridCol w:w="1080"/>
        <w:gridCol w:w="1080"/>
        <w:gridCol w:w="1080"/>
        <w:gridCol w:w="1080"/>
        <w:gridCol w:w="1346"/>
      </w:tblGrid>
      <w:tr>
        <w:tblPrEx>
          <w:shd w:val="clear" w:color="auto" w:fill="auto"/>
          <w:tblCellMar>
            <w:top w:w="0" w:type="dxa"/>
            <w:left w:w="0" w:type="dxa"/>
            <w:bottom w:w="0" w:type="dxa"/>
            <w:right w:w="0" w:type="dxa"/>
          </w:tblCellMar>
        </w:tblPrEx>
        <w:trPr>
          <w:trHeight w:val="285" w:hRule="atLeast"/>
        </w:trPr>
        <w:tc>
          <w:tcPr>
            <w:tcW w:w="8906"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专任教师岗位结构</w:t>
            </w:r>
          </w:p>
        </w:tc>
      </w:tr>
      <w:tr>
        <w:tblPrEx>
          <w:shd w:val="clear" w:color="auto" w:fill="auto"/>
          <w:tblCellMar>
            <w:top w:w="0" w:type="dxa"/>
            <w:left w:w="0" w:type="dxa"/>
            <w:bottom w:w="0" w:type="dxa"/>
            <w:right w:w="0" w:type="dxa"/>
          </w:tblCellMar>
        </w:tblPrEx>
        <w:trPr>
          <w:trHeight w:val="270" w:hRule="atLeast"/>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授课专任教师</w:t>
            </w:r>
          </w:p>
        </w:tc>
        <w:tc>
          <w:tcPr>
            <w:tcW w:w="458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授课聘请校外教师</w:t>
            </w:r>
          </w:p>
        </w:tc>
      </w:tr>
      <w:tr>
        <w:tblPrEx>
          <w:shd w:val="clear" w:color="auto" w:fill="auto"/>
          <w:tblCellMar>
            <w:top w:w="0" w:type="dxa"/>
            <w:left w:w="0" w:type="dxa"/>
            <w:bottom w:w="0" w:type="dxa"/>
            <w:right w:w="0"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文化基础课</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专业课、实习指导课</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文化基础课</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专业课、实习指导课</w:t>
            </w:r>
          </w:p>
        </w:tc>
      </w:tr>
      <w:tr>
        <w:tblPrEx>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其中：双师型</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计</w:t>
            </w:r>
          </w:p>
        </w:tc>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其中：双师型</w:t>
            </w:r>
          </w:p>
        </w:tc>
      </w:tr>
      <w:tr>
        <w:tblPrEx>
          <w:shd w:val="clear" w:color="auto" w:fill="auto"/>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rPr>
            </w:pPr>
            <w:r>
              <w:rPr>
                <w:rFonts w:hint="eastAsia" w:ascii="仿宋_GB2312" w:hAnsi="仿宋_GB2312" w:cs="仿宋_GB2312"/>
                <w:i w:val="0"/>
                <w:color w:val="000000"/>
                <w:kern w:val="0"/>
                <w:sz w:val="24"/>
                <w:szCs w:val="24"/>
                <w:u w:val="none"/>
                <w:lang w:val="en-US" w:eastAsia="zh-CN" w:bidi="ar"/>
              </w:rPr>
              <w:t>67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rPr>
            </w:pPr>
            <w:r>
              <w:rPr>
                <w:rFonts w:hint="eastAsia" w:ascii="仿宋_GB2312" w:hAnsi="仿宋_GB2312" w:cs="仿宋_GB2312"/>
                <w:i w:val="0"/>
                <w:color w:val="000000"/>
                <w:kern w:val="0"/>
                <w:sz w:val="24"/>
                <w:szCs w:val="24"/>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rPr>
            </w:pPr>
            <w:r>
              <w:rPr>
                <w:rFonts w:hint="eastAsia" w:ascii="仿宋_GB2312" w:hAnsi="仿宋_GB2312" w:cs="仿宋_GB2312"/>
                <w:i w:val="0"/>
                <w:color w:val="000000"/>
                <w:kern w:val="0"/>
                <w:sz w:val="24"/>
                <w:szCs w:val="24"/>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rPr>
            </w:pPr>
            <w:r>
              <w:rPr>
                <w:rFonts w:hint="eastAsia" w:ascii="仿宋_GB2312" w:hAnsi="仿宋_GB2312" w:cs="仿宋_GB2312"/>
                <w:i w:val="0"/>
                <w:color w:val="000000"/>
                <w:kern w:val="0"/>
                <w:sz w:val="24"/>
                <w:szCs w:val="24"/>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rPr>
            </w:pPr>
            <w:r>
              <w:rPr>
                <w:rFonts w:hint="eastAsia" w:ascii="仿宋_GB2312" w:hAnsi="仿宋_GB2312" w:cs="仿宋_GB2312"/>
                <w:i w:val="0"/>
                <w:color w:val="000000"/>
                <w:kern w:val="0"/>
                <w:sz w:val="24"/>
                <w:szCs w:val="24"/>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cs="仿宋_GB2312"/>
                <w:i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cs="仿宋_GB2312"/>
                <w:i w:val="0"/>
                <w:color w:val="000000"/>
                <w:kern w:val="0"/>
                <w:sz w:val="24"/>
                <w:szCs w:val="24"/>
                <w:u w:val="none"/>
                <w:lang w:val="en-US" w:eastAsia="zh-CN" w:bidi="ar"/>
              </w:rPr>
              <w:t>7</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cs="仿宋_GB2312"/>
                <w:i w:val="0"/>
                <w:color w:val="000000"/>
                <w:kern w:val="0"/>
                <w:sz w:val="24"/>
                <w:szCs w:val="24"/>
                <w:u w:val="none"/>
                <w:lang w:val="en-US" w:eastAsia="zh-CN" w:bidi="ar"/>
              </w:rPr>
              <w:t>2</w:t>
            </w:r>
          </w:p>
        </w:tc>
      </w:tr>
      <w:tr>
        <w:tblPrEx>
          <w:shd w:val="clear" w:color="auto" w:fill="auto"/>
          <w:tblCellMar>
            <w:top w:w="0" w:type="dxa"/>
            <w:left w:w="0" w:type="dxa"/>
            <w:bottom w:w="0" w:type="dxa"/>
            <w:right w:w="0" w:type="dxa"/>
          </w:tblCellMar>
        </w:tblPrEx>
        <w:trPr>
          <w:trHeight w:val="270" w:hRule="atLeast"/>
        </w:trPr>
        <w:tc>
          <w:tcPr>
            <w:tcW w:w="89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5" w:hRule="atLeast"/>
        </w:trPr>
        <w:tc>
          <w:tcPr>
            <w:tcW w:w="8906"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专任教师学历和职称结构</w:t>
            </w:r>
          </w:p>
        </w:tc>
      </w:tr>
      <w:tr>
        <w:tblPrEx>
          <w:shd w:val="clear" w:color="auto" w:fill="auto"/>
          <w:tblCellMar>
            <w:top w:w="0" w:type="dxa"/>
            <w:left w:w="0" w:type="dxa"/>
            <w:bottom w:w="0" w:type="dxa"/>
            <w:right w:w="0" w:type="dxa"/>
          </w:tblCellMar>
        </w:tblPrEx>
        <w:trPr>
          <w:trHeight w:val="270" w:hRule="atLeast"/>
        </w:trPr>
        <w:tc>
          <w:tcPr>
            <w:tcW w:w="21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专任教师总数</w:t>
            </w:r>
          </w:p>
        </w:tc>
        <w:tc>
          <w:tcPr>
            <w:tcW w:w="674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专任教师分学历情况</w:t>
            </w:r>
          </w:p>
        </w:tc>
      </w:tr>
      <w:tr>
        <w:tblPrEx>
          <w:shd w:val="clear" w:color="auto" w:fill="auto"/>
          <w:tblCellMar>
            <w:top w:w="0" w:type="dxa"/>
            <w:left w:w="0" w:type="dxa"/>
            <w:bottom w:w="0" w:type="dxa"/>
            <w:right w:w="0" w:type="dxa"/>
          </w:tblCellMar>
        </w:tblPrEx>
        <w:trPr>
          <w:trHeight w:val="540" w:hRule="atLeast"/>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博士研究生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硕士研究生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专科</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高中阶段及以下</w:t>
            </w:r>
          </w:p>
        </w:tc>
      </w:tr>
      <w:tr>
        <w:tblPrEx>
          <w:shd w:val="clear" w:color="auto" w:fill="auto"/>
          <w:tblCellMar>
            <w:top w:w="0" w:type="dxa"/>
            <w:left w:w="0" w:type="dxa"/>
            <w:bottom w:w="0" w:type="dxa"/>
            <w:right w:w="0" w:type="dxa"/>
          </w:tblCellMar>
        </w:tblPrEx>
        <w:trPr>
          <w:trHeight w:val="285" w:hRule="atLeast"/>
        </w:trPr>
        <w:tc>
          <w:tcPr>
            <w:tcW w:w="21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rPr>
            </w:pPr>
            <w:r>
              <w:rPr>
                <w:rFonts w:hint="eastAsia" w:ascii="仿宋_GB2312" w:hAnsi="仿宋_GB2312" w:cs="仿宋_GB2312"/>
                <w:i w:val="0"/>
                <w:color w:val="000000"/>
                <w:kern w:val="0"/>
                <w:sz w:val="24"/>
                <w:szCs w:val="24"/>
                <w:u w:val="none"/>
                <w:lang w:val="en-US" w:eastAsia="zh-CN" w:bidi="ar"/>
              </w:rPr>
              <w:t>78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rPr>
            </w:pPr>
            <w:r>
              <w:rPr>
                <w:rFonts w:hint="eastAsia" w:ascii="仿宋_GB2312" w:hAnsi="仿宋_GB2312" w:cs="仿宋_GB2312"/>
                <w:i w:val="0"/>
                <w:color w:val="000000"/>
                <w:kern w:val="0"/>
                <w:sz w:val="24"/>
                <w:szCs w:val="24"/>
                <w:u w:val="none"/>
                <w:lang w:val="en-US" w:eastAsia="zh-CN" w:bidi="ar"/>
              </w:rPr>
              <w:t>66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cs="仿宋_GB2312"/>
                <w:i w:val="0"/>
                <w:color w:val="000000"/>
                <w:kern w:val="0"/>
                <w:sz w:val="24"/>
                <w:szCs w:val="24"/>
                <w:u w:val="none"/>
                <w:lang w:val="en-US" w:eastAsia="zh-CN" w:bidi="ar"/>
              </w:rPr>
              <w:t>7</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cs="仿宋_GB2312"/>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270" w:hRule="atLeast"/>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74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专任教师职称</w:t>
            </w:r>
          </w:p>
        </w:tc>
      </w:tr>
      <w:tr>
        <w:tblPrEx>
          <w:tblCellMar>
            <w:top w:w="0" w:type="dxa"/>
            <w:left w:w="0" w:type="dxa"/>
            <w:bottom w:w="0" w:type="dxa"/>
            <w:right w:w="0" w:type="dxa"/>
          </w:tblCellMar>
        </w:tblPrEx>
        <w:trPr>
          <w:trHeight w:val="270" w:hRule="atLeast"/>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正高级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副高级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初级</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未定职级</w:t>
            </w:r>
          </w:p>
        </w:tc>
      </w:tr>
      <w:tr>
        <w:tblPrEx>
          <w:tblCellMar>
            <w:top w:w="0" w:type="dxa"/>
            <w:left w:w="0" w:type="dxa"/>
            <w:bottom w:w="0" w:type="dxa"/>
            <w:right w:w="0" w:type="dxa"/>
          </w:tblCellMar>
        </w:tblPrEx>
        <w:trPr>
          <w:trHeight w:val="285" w:hRule="atLeast"/>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cs="仿宋_GB2312"/>
                <w:i w:val="0"/>
                <w:color w:val="000000"/>
                <w:sz w:val="24"/>
                <w:szCs w:val="24"/>
                <w:u w:val="none"/>
                <w:lang w:val="en-US" w:eastAsia="zh-CN"/>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rPr>
            </w:pPr>
            <w:r>
              <w:rPr>
                <w:rFonts w:hint="eastAsia" w:ascii="仿宋_GB2312" w:hAnsi="仿宋_GB2312" w:cs="仿宋_GB2312"/>
                <w:i w:val="0"/>
                <w:color w:val="000000"/>
                <w:kern w:val="0"/>
                <w:sz w:val="24"/>
                <w:szCs w:val="24"/>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1</w:t>
            </w:r>
            <w:r>
              <w:rPr>
                <w:rFonts w:hint="eastAsia" w:ascii="仿宋_GB2312" w:hAnsi="仿宋_GB2312" w:cs="仿宋_GB2312"/>
                <w:i w:val="0"/>
                <w:color w:val="000000"/>
                <w:kern w:val="0"/>
                <w:sz w:val="24"/>
                <w:szCs w:val="24"/>
                <w:u w:val="none"/>
                <w:lang w:val="en-US" w:eastAsia="zh-CN" w:bidi="ar"/>
              </w:rPr>
              <w:t>8</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rPr>
            </w:pPr>
            <w:r>
              <w:rPr>
                <w:rFonts w:hint="eastAsia" w:ascii="仿宋_GB2312" w:hAnsi="仿宋_GB2312" w:cs="仿宋_GB2312"/>
                <w:i w:val="0"/>
                <w:color w:val="000000"/>
                <w:kern w:val="0"/>
                <w:sz w:val="24"/>
                <w:szCs w:val="24"/>
                <w:u w:val="none"/>
                <w:lang w:val="en-US" w:eastAsia="zh-CN" w:bidi="ar"/>
              </w:rPr>
              <w:t>13</w:t>
            </w:r>
          </w:p>
        </w:tc>
      </w:tr>
      <w:bookmarkEnd w:id="47"/>
    </w:tbl>
    <w:p>
      <w:pPr>
        <w:pStyle w:val="3"/>
        <w:bidi w:val="0"/>
        <w:rPr>
          <w:rFonts w:hint="eastAsia"/>
        </w:rPr>
      </w:pPr>
      <w:bookmarkStart w:id="53" w:name="_Toc15614"/>
      <w:bookmarkStart w:id="54" w:name="_Toc11354"/>
      <w:r>
        <w:rPr>
          <w:rFonts w:hint="eastAsia"/>
        </w:rPr>
        <w:t>3.3 教师培养培训</w:t>
      </w:r>
      <w:bookmarkEnd w:id="53"/>
      <w:bookmarkEnd w:id="5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bookmarkStart w:id="55" w:name="_Toc22403"/>
      <w:r>
        <w:rPr>
          <w:rFonts w:hint="eastAsia" w:ascii="仿宋_GB2312" w:hAnsi="仿宋_GB2312" w:eastAsia="仿宋_GB2312" w:cs="仿宋_GB2312"/>
          <w:sz w:val="32"/>
          <w:szCs w:val="32"/>
          <w:lang w:val="en-US" w:eastAsia="zh-CN"/>
        </w:rPr>
        <w:t>学校成立了“教师培养”工作领导小组，制订了学校师资队伍建设及培养总体规划，加强骨干教师和学科带头人培养，尤其是重视“青年教师培养”、“双师型教师培养”等。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 xml:space="preserve"> 专任教师</w:t>
      </w:r>
      <w:r>
        <w:rPr>
          <w:rFonts w:hint="eastAsia" w:ascii="仿宋_GB2312" w:hAnsi="仿宋_GB2312" w:cs="仿宋_GB2312"/>
          <w:sz w:val="32"/>
          <w:szCs w:val="32"/>
          <w:lang w:val="en-US" w:eastAsia="zh-CN"/>
        </w:rPr>
        <w:t>培训</w:t>
      </w:r>
      <w:r>
        <w:rPr>
          <w:rFonts w:hint="eastAsia" w:ascii="仿宋_GB2312" w:hAnsi="仿宋_GB2312" w:eastAsia="仿宋_GB2312" w:cs="仿宋_GB2312"/>
          <w:sz w:val="32"/>
          <w:szCs w:val="32"/>
          <w:lang w:val="en-US" w:eastAsia="zh-CN"/>
        </w:rPr>
        <w:t>情况</w:t>
      </w:r>
    </w:p>
    <w:tbl>
      <w:tblPr>
        <w:tblW w:w="892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523"/>
        <w:gridCol w:w="1575"/>
        <w:gridCol w:w="3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3" w:hRule="exact"/>
        </w:trPr>
        <w:tc>
          <w:tcPr>
            <w:tcW w:w="3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指标名称</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计量单位</w:t>
            </w:r>
          </w:p>
        </w:tc>
        <w:tc>
          <w:tcPr>
            <w:tcW w:w="3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学年数量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3" w:hRule="exact"/>
        </w:trPr>
        <w:tc>
          <w:tcPr>
            <w:tcW w:w="3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接受过培训的专任教师</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w:t>
            </w:r>
          </w:p>
        </w:tc>
        <w:tc>
          <w:tcPr>
            <w:tcW w:w="3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3" w:hRule="exact"/>
        </w:trPr>
        <w:tc>
          <w:tcPr>
            <w:tcW w:w="3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36学时以下</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w:t>
            </w:r>
          </w:p>
        </w:tc>
        <w:tc>
          <w:tcPr>
            <w:tcW w:w="3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3" w:hRule="exact"/>
        </w:trPr>
        <w:tc>
          <w:tcPr>
            <w:tcW w:w="3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37-72学时</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w:t>
            </w:r>
          </w:p>
        </w:tc>
        <w:tc>
          <w:tcPr>
            <w:tcW w:w="3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3" w:hRule="exact"/>
        </w:trPr>
        <w:tc>
          <w:tcPr>
            <w:tcW w:w="3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73-108学时</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w:t>
            </w:r>
          </w:p>
        </w:tc>
        <w:tc>
          <w:tcPr>
            <w:tcW w:w="3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3" w:hRule="exact"/>
        </w:trPr>
        <w:tc>
          <w:tcPr>
            <w:tcW w:w="3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109学时以上</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w:t>
            </w:r>
          </w:p>
        </w:tc>
        <w:tc>
          <w:tcPr>
            <w:tcW w:w="3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3" w:hRule="exact"/>
        </w:trPr>
        <w:tc>
          <w:tcPr>
            <w:tcW w:w="3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按层次划分</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3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3" w:hRule="exact"/>
        </w:trPr>
        <w:tc>
          <w:tcPr>
            <w:tcW w:w="3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#国家级</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w:t>
            </w:r>
          </w:p>
        </w:tc>
        <w:tc>
          <w:tcPr>
            <w:tcW w:w="3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3" w:hRule="exact"/>
        </w:trPr>
        <w:tc>
          <w:tcPr>
            <w:tcW w:w="3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#省级</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w:t>
            </w:r>
          </w:p>
        </w:tc>
        <w:tc>
          <w:tcPr>
            <w:tcW w:w="3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3" w:hRule="exact"/>
        </w:trPr>
        <w:tc>
          <w:tcPr>
            <w:tcW w:w="3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#地级</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w:t>
            </w:r>
          </w:p>
        </w:tc>
        <w:tc>
          <w:tcPr>
            <w:tcW w:w="3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3" w:hRule="exact"/>
        </w:trPr>
        <w:tc>
          <w:tcPr>
            <w:tcW w:w="3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#县级</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w:t>
            </w:r>
          </w:p>
        </w:tc>
        <w:tc>
          <w:tcPr>
            <w:tcW w:w="3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3" w:hRule="exact"/>
        </w:trPr>
        <w:tc>
          <w:tcPr>
            <w:tcW w:w="3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#校级</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w:t>
            </w:r>
          </w:p>
        </w:tc>
        <w:tc>
          <w:tcPr>
            <w:tcW w:w="3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45</w:t>
            </w:r>
          </w:p>
        </w:tc>
      </w:tr>
    </w:tbl>
    <w:p>
      <w:pPr>
        <w:pStyle w:val="3"/>
        <w:bidi w:val="0"/>
        <w:rPr>
          <w:rFonts w:hint="eastAsia"/>
        </w:rPr>
      </w:pPr>
      <w:bookmarkStart w:id="56" w:name="_Toc21108"/>
      <w:r>
        <w:rPr>
          <w:rFonts w:hint="eastAsia"/>
        </w:rPr>
        <w:t>3.4规范管理情况</w:t>
      </w:r>
      <w:bookmarkEnd w:id="55"/>
      <w:bookmarkEnd w:id="56"/>
    </w:p>
    <w:p>
      <w:pPr>
        <w:pStyle w:val="26"/>
        <w:bidi w:val="0"/>
        <w:rPr>
          <w:rFonts w:hint="eastAsia"/>
          <w:lang w:val="en-US" w:eastAsia="zh-CN"/>
        </w:rPr>
      </w:pPr>
      <w:bookmarkStart w:id="57" w:name="_Toc9778"/>
      <w:r>
        <w:rPr>
          <w:rFonts w:hint="eastAsia"/>
          <w:lang w:val="en-US" w:eastAsia="zh-CN"/>
        </w:rPr>
        <w:t>3.4.1教学管理</w:t>
      </w:r>
      <w:bookmarkEnd w:id="57"/>
    </w:p>
    <w:p>
      <w:pPr>
        <w:pStyle w:val="26"/>
        <w:bidi w:val="0"/>
        <w:ind w:firstLine="720"/>
        <w:rPr>
          <w:rFonts w:hint="eastAsia" w:ascii="仿宋_GB2312" w:hAnsi="仿宋_GB2312" w:cs="仿宋_GB2312"/>
          <w:b w:val="0"/>
          <w:bCs/>
          <w:color w:val="auto"/>
          <w:sz w:val="32"/>
          <w:szCs w:val="32"/>
        </w:rPr>
      </w:pPr>
      <w:bookmarkStart w:id="58" w:name="_Toc28354"/>
      <w:r>
        <w:rPr>
          <w:rFonts w:hint="eastAsia" w:ascii="仿宋_GB2312" w:hAnsi="仿宋_GB2312" w:cs="仿宋_GB2312"/>
          <w:b w:val="0"/>
          <w:bCs/>
          <w:color w:val="auto"/>
          <w:sz w:val="32"/>
          <w:szCs w:val="32"/>
        </w:rPr>
        <w:t>学校制订了一系列《教学管理制度》，成立教学管理领导小组，明确教务主任、教务人员、教研组长和教师的职责，制订《教师业务考核评估测评实施细则》，常规教学规范化、细致化，每月定期检查教师教案、听课记录和学生作业；每学期组织校级优质课评比活动；每周安排公开课听评课活动，2021年校级以上公开课听评课97节；每学期组织学生评教活动，学籍管理准确无误；注重教师队伍的教育教学研究，定于每周四晚上开展由各教研组组织的教研活动；每学期各教研组组织开展校级技能大赛活动，为省市各项大赛选拔人才。注重学生考核，每学期组织期中、期末理论课考试和专业技能考核；考试管理科学规范，形成了良好的考风、学风、教风和校风。</w:t>
      </w:r>
      <w:bookmarkEnd w:id="58"/>
    </w:p>
    <w:p>
      <w:pPr>
        <w:pStyle w:val="26"/>
        <w:bidi w:val="0"/>
        <w:rPr>
          <w:rFonts w:hint="eastAsia"/>
          <w:lang w:val="en-US" w:eastAsia="zh-CN"/>
        </w:rPr>
      </w:pPr>
      <w:bookmarkStart w:id="59" w:name="_Toc18405"/>
      <w:r>
        <w:rPr>
          <w:rFonts w:hint="eastAsia"/>
          <w:lang w:val="en-US" w:eastAsia="zh-CN"/>
        </w:rPr>
        <w:t>3.4.2学生管理</w:t>
      </w:r>
      <w:bookmarkEnd w:id="59"/>
    </w:p>
    <w:p>
      <w:pPr>
        <w:pStyle w:val="26"/>
        <w:bidi w:val="0"/>
        <w:ind w:firstLine="720"/>
        <w:rPr>
          <w:rFonts w:hint="eastAsia" w:ascii="仿宋_GB2312" w:hAnsi="仿宋_GB2312" w:cs="仿宋_GB2312"/>
          <w:b w:val="0"/>
          <w:bCs/>
          <w:color w:val="auto"/>
          <w:sz w:val="32"/>
          <w:szCs w:val="32"/>
        </w:rPr>
      </w:pPr>
      <w:bookmarkStart w:id="60" w:name="_Toc26997"/>
      <w:r>
        <w:rPr>
          <w:rFonts w:hint="eastAsia" w:ascii="仿宋_GB2312" w:hAnsi="仿宋_GB2312" w:cs="仿宋_GB2312"/>
          <w:b w:val="0"/>
          <w:bCs/>
          <w:color w:val="auto"/>
          <w:sz w:val="32"/>
          <w:szCs w:val="32"/>
        </w:rPr>
        <w:t>学生管理是保障正常教学的前提。本学年，我校大力开展学生一日常规教育，加大管理力度，严格执行寝室管理制度，规范在校生违纪处理工作。严禁学生在公共学习场合穿拖鞋、染发、留长发(男生)、穿奇装异服，严禁携带管制刀具进校。严抓寝室管理，学生会干部配合班主任和寝室管理员参与学生管理的全过程，做好了两操、就寝、卫生、预备铃响之前进班检查等工作。迟到现象彻底扭转，上课秩序得到了有效保障。</w:t>
      </w:r>
      <w:bookmarkEnd w:id="60"/>
    </w:p>
    <w:p>
      <w:pPr>
        <w:pStyle w:val="26"/>
        <w:bidi w:val="0"/>
        <w:rPr>
          <w:rFonts w:hint="eastAsia"/>
          <w:lang w:val="en-US" w:eastAsia="zh-CN"/>
        </w:rPr>
      </w:pPr>
      <w:r>
        <w:rPr>
          <w:rFonts w:hint="eastAsia"/>
          <w:lang w:val="en-US" w:eastAsia="zh-CN"/>
        </w:rPr>
        <w:t xml:space="preserve"> </w:t>
      </w:r>
      <w:bookmarkStart w:id="61" w:name="_Toc28044"/>
      <w:r>
        <w:rPr>
          <w:rFonts w:hint="eastAsia"/>
          <w:lang w:val="en-US" w:eastAsia="zh-CN"/>
        </w:rPr>
        <w:t>3.4.3财务管理</w:t>
      </w:r>
      <w:bookmarkEnd w:id="61"/>
    </w:p>
    <w:p>
      <w:pPr>
        <w:spacing w:line="560" w:lineRule="exact"/>
        <w:ind w:firstLine="600"/>
        <w:rPr>
          <w:rFonts w:hint="eastAsia" w:ascii="仿宋_GB2312" w:hAnsi="仿宋_GB2312" w:cs="仿宋_GB2312"/>
          <w:color w:val="auto"/>
          <w:sz w:val="32"/>
          <w:szCs w:val="32"/>
        </w:rPr>
      </w:pPr>
      <w:bookmarkStart w:id="62" w:name="_Toc501297027"/>
      <w:r>
        <w:rPr>
          <w:rFonts w:hint="eastAsia" w:ascii="仿宋_GB2312" w:hAnsi="仿宋_GB2312" w:cs="仿宋_GB2312"/>
          <w:color w:val="auto"/>
          <w:sz w:val="32"/>
          <w:szCs w:val="32"/>
        </w:rPr>
        <w:t xml:space="preserve">根据上级财务管理制度的要求，制定学校内控管理制度，坚持资金跟着项目走，项目跟着预算走的原则，将学校的各类开支纳入预算管理，从源头上杜绝腐败发生。严格执行采购、领用、核销等系列手续，并建立各类财产的定期核查和赔偿制度，对人为破坏财产的行 为坚决实施赔偿和追责。 </w:t>
      </w:r>
    </w:p>
    <w:bookmarkEnd w:id="62"/>
    <w:p>
      <w:pPr>
        <w:pStyle w:val="26"/>
        <w:bidi w:val="0"/>
        <w:rPr>
          <w:rFonts w:hint="eastAsia"/>
          <w:lang w:val="en-US" w:eastAsia="zh-CN"/>
        </w:rPr>
      </w:pPr>
      <w:bookmarkStart w:id="63" w:name="_Toc31021"/>
      <w:bookmarkStart w:id="64" w:name="_Toc6113"/>
      <w:bookmarkStart w:id="65" w:name="_Toc501297030"/>
      <w:r>
        <w:rPr>
          <w:rFonts w:hint="eastAsia"/>
          <w:lang w:val="en-US" w:eastAsia="zh-CN"/>
        </w:rPr>
        <w:t>3.4.4后勤服务规范有序</w:t>
      </w:r>
      <w:bookmarkEnd w:id="63"/>
      <w:bookmarkEnd w:id="64"/>
    </w:p>
    <w:p>
      <w:pPr>
        <w:pStyle w:val="26"/>
        <w:bidi w:val="0"/>
        <w:ind w:firstLine="720"/>
        <w:rPr>
          <w:rFonts w:hint="eastAsia" w:ascii="仿宋_GB2312" w:hAnsi="仿宋_GB2312" w:cs="仿宋_GB2312"/>
          <w:color w:val="auto"/>
          <w:sz w:val="32"/>
          <w:szCs w:val="32"/>
        </w:rPr>
      </w:pPr>
      <w:bookmarkStart w:id="66" w:name="_Toc25158"/>
      <w:r>
        <w:rPr>
          <w:rFonts w:hint="eastAsia" w:ascii="仿宋_GB2312" w:hAnsi="仿宋_GB2312" w:cs="仿宋_GB2312"/>
          <w:color w:val="auto"/>
          <w:sz w:val="32"/>
          <w:szCs w:val="32"/>
          <w:lang w:val="en-US" w:eastAsia="zh-CN"/>
        </w:rPr>
        <w:t>牢固树立后勤工作为教育教学服务的意识，为教育教学和全校师生做好服务保障工作。2020 以来，我校进一步提升后勤人员服务意识和能力。明确责任主体、服务意识，牢固树立“双服务”的观念，加强人财物事管理，使后勤服务有质量、有特色。加强对食堂的监督管理，认真执行食品卫生法，一切围绕为师生服务为目标，不断改善师生的生活、学习环境和条件，让教师安心舒心工作。</w:t>
      </w:r>
      <w:bookmarkEnd w:id="66"/>
      <w:r>
        <w:rPr>
          <w:rFonts w:hint="eastAsia" w:ascii="仿宋_GB2312" w:hAnsi="仿宋_GB2312" w:cs="仿宋_GB2312"/>
          <w:color w:val="auto"/>
          <w:sz w:val="32"/>
          <w:szCs w:val="32"/>
          <w:lang w:val="en-US" w:eastAsia="zh-CN"/>
        </w:rPr>
        <w:t xml:space="preserve"> </w:t>
      </w:r>
    </w:p>
    <w:p>
      <w:pPr>
        <w:pStyle w:val="26"/>
        <w:bidi w:val="0"/>
        <w:rPr>
          <w:rFonts w:hint="eastAsia"/>
          <w:lang w:val="en-US" w:eastAsia="zh-CN"/>
        </w:rPr>
      </w:pPr>
      <w:bookmarkStart w:id="67" w:name="_Toc8030"/>
      <w:r>
        <w:rPr>
          <w:rFonts w:hint="eastAsia"/>
          <w:lang w:val="en-US" w:eastAsia="zh-CN"/>
        </w:rPr>
        <w:t>3.4.5安全管理</w:t>
      </w:r>
      <w:bookmarkEnd w:id="65"/>
      <w:bookmarkEnd w:id="67"/>
    </w:p>
    <w:p>
      <w:pPr>
        <w:spacing w:line="560" w:lineRule="exact"/>
        <w:ind w:firstLine="640" w:firstLineChars="200"/>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学校由安全办牵头实施，具体负责学校安全工作，成立了校园安全工作领导小组，制定了突发安全事故应急处置预案，构筑起了集“安全教育、安全预防、事故处置、平安保障”为一体的立体化安全屏障。</w:t>
      </w:r>
    </w:p>
    <w:p>
      <w:pPr>
        <w:pStyle w:val="26"/>
        <w:bidi w:val="0"/>
        <w:ind w:firstLine="720"/>
        <w:rPr>
          <w:rFonts w:hint="eastAsia" w:ascii="仿宋_GB2312" w:hAnsi="仿宋_GB2312" w:cs="仿宋_GB2312"/>
          <w:color w:val="auto"/>
          <w:sz w:val="32"/>
          <w:szCs w:val="32"/>
          <w:lang w:val="en-US" w:eastAsia="zh-CN"/>
        </w:rPr>
      </w:pPr>
      <w:bookmarkStart w:id="68" w:name="_Toc27124"/>
      <w:r>
        <w:rPr>
          <w:rFonts w:hint="eastAsia" w:ascii="仿宋_GB2312" w:hAnsi="仿宋_GB2312" w:cs="仿宋_GB2312"/>
          <w:color w:val="auto"/>
          <w:sz w:val="32"/>
          <w:szCs w:val="32"/>
          <w:lang w:val="en-US" w:eastAsia="zh-CN"/>
        </w:rPr>
        <w:t>落实定期检排查制度，完善安全考核制度，完善保障措施，健全处置机制。加强安全教育，提升安全意识落实每月安全教育主题活动，有计划地向学生传授各项安全知识和防护方法。开展主题安全教育，对学生进行预防火灾、拥挤踩踏、交通、溺水等方面的安全教育。抓重点领域，实施精致管理。加强人员、校舍等管理，加强各类教育教学活动、交通、食堂饮食卫生、校园消防等安全管理。</w:t>
      </w:r>
      <w:bookmarkEnd w:id="68"/>
    </w:p>
    <w:p>
      <w:pPr>
        <w:pStyle w:val="26"/>
        <w:bidi w:val="0"/>
        <w:rPr>
          <w:rFonts w:hint="default"/>
          <w:lang w:val="en-US" w:eastAsia="zh-CN"/>
        </w:rPr>
      </w:pPr>
      <w:bookmarkStart w:id="69" w:name="_Toc16519"/>
      <w:r>
        <w:rPr>
          <w:rFonts w:hint="eastAsia"/>
          <w:lang w:val="en-US" w:eastAsia="zh-CN"/>
        </w:rPr>
        <w:t>3.4.6科研管理和管理队伍建设</w:t>
      </w:r>
      <w:bookmarkEnd w:id="69"/>
    </w:p>
    <w:p>
      <w:pPr>
        <w:spacing w:line="560" w:lineRule="exact"/>
        <w:ind w:firstLine="640" w:firstLineChars="200"/>
        <w:rPr>
          <w:rFonts w:hint="eastAsia" w:ascii="仿宋_GB2312" w:hAnsi="仿宋_GB2312" w:cs="仿宋_GB2312"/>
          <w:color w:val="auto"/>
          <w:sz w:val="32"/>
          <w:szCs w:val="32"/>
        </w:rPr>
      </w:pPr>
      <w:r>
        <w:rPr>
          <w:rFonts w:hint="eastAsia" w:ascii="仿宋_GB2312" w:hAnsi="仿宋_GB2312" w:cs="仿宋_GB2312"/>
          <w:color w:val="auto"/>
          <w:sz w:val="32"/>
          <w:szCs w:val="32"/>
        </w:rPr>
        <w:t>学校坚持科研为提高教育质量和办学效益为努力方向，牢固树立科研兴教、科研兴校的思想，认真做好课题研究和论文发表工作，努力让教师科研得到适时的发展，千方百计为科研提供条件，提高教师的科研能力。一年来，共撰写教学专著2本，发表CN论文4篇，省级课题立项2项，教育教学论交流论文16篇。</w:t>
      </w:r>
    </w:p>
    <w:p>
      <w:pPr>
        <w:pStyle w:val="26"/>
        <w:bidi w:val="0"/>
        <w:rPr>
          <w:rFonts w:hint="eastAsia"/>
          <w:lang w:val="en-US" w:eastAsia="zh-CN"/>
        </w:rPr>
      </w:pPr>
      <w:bookmarkStart w:id="70" w:name="_Toc9726"/>
      <w:r>
        <w:rPr>
          <w:rFonts w:hint="eastAsia"/>
          <w:lang w:val="en-US" w:eastAsia="zh-CN"/>
        </w:rPr>
        <w:t>3.4.7管理信息化水平方面</w:t>
      </w:r>
      <w:bookmarkEnd w:id="70"/>
    </w:p>
    <w:p>
      <w:pPr>
        <w:spacing w:line="560" w:lineRule="exact"/>
        <w:ind w:firstLine="640" w:firstLineChars="200"/>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rPr>
        <w:t>学校高度重视信息化建设和管理工作，为提升信息化管理水平，</w:t>
      </w:r>
      <w:r>
        <w:rPr>
          <w:rFonts w:hint="eastAsia" w:ascii="仿宋_GB2312" w:hAnsi="仿宋_GB2312" w:cs="仿宋_GB2312"/>
          <w:color w:val="auto"/>
          <w:sz w:val="32"/>
          <w:szCs w:val="32"/>
          <w:lang w:val="en-US" w:eastAsia="zh-CN"/>
        </w:rPr>
        <w:t>按照市局整体部署，我校积极探索建立了局-校-家企业微信沟通平台，避免网络诈骗出现在家长微信群中。</w:t>
      </w:r>
    </w:p>
    <w:p>
      <w:pPr>
        <w:pStyle w:val="3"/>
        <w:bidi w:val="0"/>
        <w:rPr>
          <w:rFonts w:hint="eastAsia"/>
        </w:rPr>
      </w:pPr>
      <w:bookmarkStart w:id="71" w:name="_Toc5190"/>
      <w:bookmarkStart w:id="72" w:name="_Toc21880"/>
      <w:r>
        <w:rPr>
          <w:rFonts w:hint="eastAsia"/>
        </w:rPr>
        <w:t>3.5 德育工作情况</w:t>
      </w:r>
      <w:bookmarkEnd w:id="71"/>
      <w:bookmarkEnd w:id="72"/>
    </w:p>
    <w:p>
      <w:pPr>
        <w:pStyle w:val="26"/>
        <w:bidi w:val="0"/>
        <w:rPr>
          <w:rFonts w:hint="eastAsia"/>
          <w:lang w:val="en-US" w:eastAsia="zh-CN"/>
        </w:rPr>
      </w:pPr>
      <w:bookmarkStart w:id="73" w:name="_Toc5403"/>
      <w:r>
        <w:rPr>
          <w:rFonts w:hint="eastAsia"/>
          <w:lang w:val="en-US" w:eastAsia="zh-CN"/>
        </w:rPr>
        <w:t>3.5.1德育课实施情况</w:t>
      </w:r>
      <w:bookmarkEnd w:id="73"/>
    </w:p>
    <w:p>
      <w:pPr>
        <w:pStyle w:val="26"/>
        <w:bidi w:val="0"/>
        <w:rPr>
          <w:rFonts w:hint="eastAsia" w:ascii="仿宋_GB2312" w:hAnsi="仿宋_GB2312" w:cs="仿宋_GB2312"/>
          <w:color w:val="auto"/>
          <w:sz w:val="32"/>
          <w:szCs w:val="32"/>
        </w:rPr>
      </w:pPr>
      <w:bookmarkStart w:id="74" w:name="_Toc11884"/>
      <w:r>
        <w:rPr>
          <w:rFonts w:hint="eastAsia" w:ascii="仿宋_GB2312" w:hAnsi="仿宋_GB2312" w:cs="仿宋_GB2312"/>
          <w:color w:val="auto"/>
          <w:sz w:val="32"/>
          <w:szCs w:val="32"/>
        </w:rPr>
        <w:t>德育课是各专业学生必修的公共基础课,是学校德育的主渠道。新学期开学之初，经学校领导研究决定，全体学生征订高中版《习近平新时代中国特色社会主义思想学生读本》，要求人人学读本，并将读本教学融入一二年级课堂教学，三年级以讲座形式有机融入日常教学。</w:t>
      </w:r>
    </w:p>
    <w:p>
      <w:pPr>
        <w:pStyle w:val="26"/>
        <w:bidi w:val="0"/>
        <w:rPr>
          <w:rFonts w:hint="eastAsia"/>
          <w:lang w:val="en-US" w:eastAsia="zh-CN"/>
        </w:rPr>
      </w:pPr>
      <w:r>
        <w:rPr>
          <w:rFonts w:hint="eastAsia"/>
          <w:lang w:val="en-US" w:eastAsia="zh-CN"/>
        </w:rPr>
        <w:t>3.5.2校园文化建设</w:t>
      </w:r>
      <w:bookmarkEnd w:id="74"/>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27" w:firstLineChars="196"/>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校园文化是一本无声教科书，会潜移默化地影响学生。为了给学生营造一个健康和谐的校园文化氛围，我校在教学楼、办公楼、实验楼、基地楼墙壁上都悬挂名人语录、警示语等宣传板；在教室内的墙壁上悬挂了《中小学生守则》、《中等职业学校学生公约》等规章制度；在校园内布置了思政宣传栏、公益广告宣传栏、社会主义核心价值观宣传栏等。</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27" w:firstLineChars="196"/>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班级文化作为校园文化重要的组成部分，根据专业和班级特点，开展了一班一品班级文化建设，大大提升了班级凝聚力。</w:t>
      </w:r>
    </w:p>
    <w:p>
      <w:pPr>
        <w:pStyle w:val="26"/>
        <w:bidi w:val="0"/>
        <w:rPr>
          <w:rFonts w:hint="eastAsia"/>
          <w:lang w:val="en-US" w:eastAsia="zh-CN"/>
        </w:rPr>
      </w:pPr>
      <w:bookmarkStart w:id="75" w:name="_Toc23417"/>
      <w:r>
        <w:rPr>
          <w:rFonts w:hint="eastAsia"/>
          <w:lang w:val="en-US" w:eastAsia="zh-CN"/>
        </w:rPr>
        <w:t>3.5.3文明风采活动开展情况</w:t>
      </w:r>
      <w:bookmarkEnd w:id="75"/>
    </w:p>
    <w:p>
      <w:pPr>
        <w:spacing w:line="560" w:lineRule="exact"/>
        <w:ind w:firstLine="640" w:firstLineChars="200"/>
        <w:rPr>
          <w:rFonts w:hint="default" w:ascii="仿宋_GB2312" w:hAnsi="仿宋_GB2312" w:cs="仿宋_GB2312"/>
          <w:color w:val="auto"/>
          <w:sz w:val="32"/>
          <w:szCs w:val="32"/>
          <w:lang w:val="en-US" w:eastAsia="zh-CN"/>
        </w:rPr>
      </w:pPr>
      <w:r>
        <w:rPr>
          <w:rFonts w:hint="default" w:ascii="仿宋_GB2312" w:hAnsi="仿宋_GB2312" w:cs="仿宋_GB2312"/>
          <w:color w:val="auto"/>
          <w:sz w:val="32"/>
          <w:szCs w:val="32"/>
          <w:lang w:val="en-US" w:eastAsia="zh-CN"/>
        </w:rPr>
        <w:t>202</w:t>
      </w:r>
      <w:r>
        <w:rPr>
          <w:rFonts w:hint="eastAsia" w:ascii="仿宋_GB2312" w:hAnsi="仿宋_GB2312" w:cs="仿宋_GB2312"/>
          <w:color w:val="auto"/>
          <w:sz w:val="32"/>
          <w:szCs w:val="32"/>
          <w:lang w:val="en-US" w:eastAsia="zh-CN"/>
        </w:rPr>
        <w:t>1</w:t>
      </w:r>
      <w:r>
        <w:rPr>
          <w:rFonts w:hint="default" w:ascii="仿宋_GB2312" w:hAnsi="仿宋_GB2312" w:cs="仿宋_GB2312"/>
          <w:color w:val="auto"/>
          <w:sz w:val="32"/>
          <w:szCs w:val="32"/>
          <w:lang w:val="en-US" w:eastAsia="zh-CN"/>
        </w:rPr>
        <w:t>年度</w:t>
      </w:r>
      <w:r>
        <w:rPr>
          <w:rFonts w:hint="eastAsia" w:ascii="仿宋_GB2312" w:hAnsi="仿宋_GB2312" w:cs="仿宋_GB2312"/>
          <w:color w:val="auto"/>
          <w:sz w:val="32"/>
          <w:szCs w:val="32"/>
          <w:lang w:val="en-US" w:eastAsia="zh-CN"/>
        </w:rPr>
        <w:t>，学校以“职业教育活动周”“第三届校园技能文化艺术节”为主题，开展中职系列大赛选拔，</w:t>
      </w:r>
      <w:r>
        <w:rPr>
          <w:rFonts w:hint="default" w:ascii="仿宋_GB2312" w:hAnsi="仿宋_GB2312" w:cs="仿宋_GB2312"/>
          <w:color w:val="auto"/>
          <w:sz w:val="32"/>
          <w:szCs w:val="32"/>
          <w:lang w:val="en-US" w:eastAsia="zh-CN"/>
        </w:rPr>
        <w:t xml:space="preserve">经过校级初选参加新乡市的文明风采大赛，获得新乡市一等奖3人、二等奖8人、三等奖12人的良好成绩。受疫情影响，省“文明风采”大赛暂未进行。 </w:t>
      </w:r>
    </w:p>
    <w:p>
      <w:pPr>
        <w:pStyle w:val="26"/>
        <w:bidi w:val="0"/>
        <w:rPr>
          <w:rFonts w:hint="eastAsia"/>
          <w:lang w:val="en-US" w:eastAsia="zh-CN"/>
        </w:rPr>
      </w:pPr>
      <w:bookmarkStart w:id="76" w:name="_Toc23154"/>
      <w:r>
        <w:rPr>
          <w:rFonts w:hint="eastAsia"/>
          <w:lang w:val="en-US" w:eastAsia="zh-CN"/>
        </w:rPr>
        <w:t>3.5.4社团活动</w:t>
      </w:r>
      <w:bookmarkEnd w:id="76"/>
    </w:p>
    <w:p>
      <w:pPr>
        <w:spacing w:line="560" w:lineRule="exact"/>
        <w:ind w:firstLine="600"/>
        <w:rPr>
          <w:rFonts w:hint="default" w:ascii="仿宋_GB2312" w:hAnsi="仿宋_GB2312" w:cs="仿宋_GB2312"/>
          <w:color w:val="auto"/>
          <w:sz w:val="32"/>
          <w:szCs w:val="32"/>
          <w:lang w:val="en-US" w:eastAsia="zh-CN"/>
        </w:rPr>
      </w:pPr>
      <w:r>
        <w:rPr>
          <w:rFonts w:hint="default" w:ascii="仿宋_GB2312" w:hAnsi="仿宋_GB2312" w:cs="仿宋_GB2312"/>
          <w:color w:val="auto"/>
          <w:sz w:val="32"/>
          <w:szCs w:val="32"/>
          <w:lang w:val="en-US" w:eastAsia="zh-CN"/>
        </w:rPr>
        <w:t>学生社团经过不断地发展壮大，如今已有23个社团，分别是诗情花艺社、茶韵社、蔬菜嫁接社团、果树繁育社、果树修剪社、盆景制作、爱宠家族、汽车美容、篮球社、数学之星、英语角、书画社、铭将街舞社团、国旗班、青春魅力健美操社、墨曦校园剧社、平面设计、影视后期、电子焊接、超星研学社、制冷社团等。各社团每周定时定点开展活动，活动内容、形式丰富多彩，九月初进行了大型社团迎新活动，十</w:t>
      </w:r>
      <w:r>
        <w:rPr>
          <w:rFonts w:hint="eastAsia" w:ascii="仿宋_GB2312" w:hAnsi="仿宋_GB2312" w:cs="仿宋_GB2312"/>
          <w:color w:val="auto"/>
          <w:sz w:val="32"/>
          <w:szCs w:val="32"/>
          <w:lang w:val="en-US" w:eastAsia="zh-CN"/>
        </w:rPr>
        <w:t>一</w:t>
      </w:r>
      <w:r>
        <w:rPr>
          <w:rFonts w:hint="default" w:ascii="仿宋_GB2312" w:hAnsi="仿宋_GB2312" w:cs="仿宋_GB2312"/>
          <w:color w:val="auto"/>
          <w:sz w:val="32"/>
          <w:szCs w:val="32"/>
          <w:lang w:val="en-US" w:eastAsia="zh-CN"/>
        </w:rPr>
        <w:t>月份进行了各社团成果展示，一系列的社团活动推动了学校学生社团不断发展壮大。作为培养学生专业素养的第二课堂，学生社团以其更大的活动空间，更丰富的活动内容，更灵活的活动方式，深受学生的喜爱。</w:t>
      </w:r>
    </w:p>
    <w:p>
      <w:pPr>
        <w:pStyle w:val="26"/>
        <w:bidi w:val="0"/>
        <w:rPr>
          <w:rFonts w:hint="eastAsia"/>
          <w:lang w:val="en-US" w:eastAsia="zh-CN"/>
        </w:rPr>
      </w:pPr>
      <w:bookmarkStart w:id="77" w:name="_Toc27930"/>
      <w:r>
        <w:rPr>
          <w:rFonts w:hint="eastAsia"/>
          <w:lang w:val="en-US" w:eastAsia="zh-CN"/>
        </w:rPr>
        <w:t>3.5.5团组织建设及活动</w:t>
      </w:r>
      <w:bookmarkEnd w:id="77"/>
    </w:p>
    <w:p>
      <w:pPr>
        <w:pStyle w:val="26"/>
        <w:bidi w:val="0"/>
        <w:ind w:firstLine="720"/>
        <w:rPr>
          <w:rFonts w:hint="eastAsia" w:ascii="仿宋_GB2312" w:hAnsi="仿宋_GB2312" w:cs="仿宋_GB2312"/>
          <w:color w:val="auto"/>
          <w:sz w:val="32"/>
          <w:szCs w:val="32"/>
          <w:lang w:val="en-US" w:eastAsia="zh-CN"/>
        </w:rPr>
      </w:pPr>
      <w:bookmarkStart w:id="78" w:name="_Toc24735"/>
      <w:r>
        <w:rPr>
          <w:rFonts w:hint="eastAsia" w:ascii="仿宋_GB2312" w:hAnsi="仿宋_GB2312" w:cs="仿宋_GB2312"/>
          <w:color w:val="auto"/>
          <w:sz w:val="32"/>
          <w:szCs w:val="32"/>
          <w:lang w:val="en-US" w:eastAsia="zh-CN"/>
        </w:rPr>
        <w:t>一是团的思想建设方面。紧抓青年大学习，通过青年大学习 这个平台，对我校全体团员进行思想上的洗礼。从第十期到第十二期，我校团委在各班班主任及团支书的大力支持下，每星期都进行书面统计确保每名团员都进行有效学习。</w:t>
      </w:r>
      <w:bookmarkEnd w:id="78"/>
      <w:r>
        <w:rPr>
          <w:rFonts w:hint="eastAsia" w:ascii="仿宋_GB2312" w:hAnsi="仿宋_GB2312" w:cs="仿宋_GB2312"/>
          <w:color w:val="auto"/>
          <w:sz w:val="32"/>
          <w:szCs w:val="32"/>
          <w:lang w:val="en-US" w:eastAsia="zh-CN"/>
        </w:rPr>
        <w:t xml:space="preserve"> </w:t>
      </w:r>
    </w:p>
    <w:p>
      <w:pPr>
        <w:pStyle w:val="26"/>
        <w:bidi w:val="0"/>
        <w:ind w:firstLine="720"/>
        <w:rPr>
          <w:rFonts w:hint="eastAsia" w:ascii="仿宋_GB2312" w:hAnsi="仿宋_GB2312" w:cs="仿宋_GB2312"/>
          <w:color w:val="auto"/>
          <w:sz w:val="32"/>
          <w:szCs w:val="32"/>
          <w:lang w:val="en-US" w:eastAsia="zh-CN"/>
        </w:rPr>
      </w:pPr>
      <w:bookmarkStart w:id="79" w:name="_Toc13575"/>
      <w:r>
        <w:rPr>
          <w:rFonts w:hint="eastAsia" w:ascii="仿宋_GB2312" w:hAnsi="仿宋_GB2312" w:cs="仿宋_GB2312"/>
          <w:color w:val="auto"/>
          <w:sz w:val="32"/>
          <w:szCs w:val="32"/>
          <w:lang w:val="en-US" w:eastAsia="zh-CN"/>
        </w:rPr>
        <w:t>二是组织建设方面。强有力的团队是攻坚克难的保障，我校 团委利用智慧团建平台，把每名团员的信息都有效输入，无论是 入校还是毕业去向都进行系统登记。透明的团员信息，更能充分 带动团员参与团活动或思想学习的积极性。</w:t>
      </w:r>
      <w:bookmarkEnd w:id="79"/>
      <w:r>
        <w:rPr>
          <w:rFonts w:hint="eastAsia" w:ascii="仿宋_GB2312" w:hAnsi="仿宋_GB2312" w:cs="仿宋_GB2312"/>
          <w:color w:val="auto"/>
          <w:sz w:val="32"/>
          <w:szCs w:val="32"/>
          <w:lang w:val="en-US" w:eastAsia="zh-CN"/>
        </w:rPr>
        <w:t xml:space="preserve"> </w:t>
      </w:r>
    </w:p>
    <w:p>
      <w:pPr>
        <w:pStyle w:val="26"/>
        <w:bidi w:val="0"/>
        <w:ind w:firstLine="720"/>
        <w:rPr>
          <w:rFonts w:hint="eastAsia" w:ascii="仿宋_GB2312" w:hAnsi="仿宋_GB2312" w:cs="仿宋_GB2312"/>
          <w:color w:val="auto"/>
          <w:sz w:val="32"/>
          <w:szCs w:val="32"/>
          <w:lang w:val="en-US" w:eastAsia="zh-CN"/>
        </w:rPr>
      </w:pPr>
      <w:bookmarkStart w:id="80" w:name="_Toc22170"/>
      <w:r>
        <w:rPr>
          <w:rFonts w:hint="eastAsia" w:ascii="仿宋_GB2312" w:hAnsi="仿宋_GB2312" w:cs="仿宋_GB2312"/>
          <w:color w:val="auto"/>
          <w:sz w:val="32"/>
          <w:szCs w:val="32"/>
          <w:lang w:val="en-US" w:eastAsia="zh-CN"/>
        </w:rPr>
        <w:t>三是文化建设方面。我校团委在校党支部的带领下，结合各处室工作，开展了丰富多彩的校园社团文化活动，如每周国旗下演讲、广播站的播音节目、各班开展各项丰富多彩的读书以及经典诵读等活动。校团委以社团为依托，开展了大量丰富多彩的社团活动，既丰富了校园文化生活，又陶冶了团员的情操。</w:t>
      </w:r>
      <w:bookmarkEnd w:id="80"/>
      <w:r>
        <w:rPr>
          <w:rFonts w:hint="eastAsia" w:ascii="仿宋_GB2312" w:hAnsi="仿宋_GB2312" w:cs="仿宋_GB2312"/>
          <w:color w:val="auto"/>
          <w:sz w:val="32"/>
          <w:szCs w:val="32"/>
          <w:lang w:val="en-US" w:eastAsia="zh-CN"/>
        </w:rPr>
        <w:t xml:space="preserve"> </w:t>
      </w:r>
    </w:p>
    <w:p>
      <w:pPr>
        <w:pStyle w:val="26"/>
        <w:bidi w:val="0"/>
        <w:ind w:firstLine="720"/>
        <w:rPr>
          <w:rFonts w:hint="eastAsia" w:ascii="仿宋_GB2312" w:hAnsi="仿宋_GB2312" w:cs="仿宋_GB2312"/>
          <w:color w:val="auto"/>
          <w:sz w:val="32"/>
          <w:szCs w:val="32"/>
          <w:lang w:val="en-US" w:eastAsia="zh-CN"/>
        </w:rPr>
      </w:pPr>
      <w:bookmarkStart w:id="81" w:name="_Toc21105"/>
      <w:r>
        <w:rPr>
          <w:rFonts w:hint="eastAsia" w:ascii="仿宋_GB2312" w:hAnsi="仿宋_GB2312" w:cs="仿宋_GB2312"/>
          <w:color w:val="auto"/>
          <w:sz w:val="32"/>
          <w:szCs w:val="32"/>
          <w:lang w:val="en-US" w:eastAsia="zh-CN"/>
        </w:rPr>
        <w:t>四是阵地建设方面。打铁还得自身硬，在2021年，我校团委开展多次学习，如开展学习十九届六中全会精神，把国家的远景规划和个人的发展规划结合在一起，争取与祖国同频率同进步。</w:t>
      </w:r>
      <w:bookmarkEnd w:id="81"/>
    </w:p>
    <w:p>
      <w:pPr>
        <w:pStyle w:val="26"/>
        <w:bidi w:val="0"/>
        <w:rPr>
          <w:rFonts w:hint="eastAsia"/>
          <w:lang w:val="en-US" w:eastAsia="zh-CN"/>
        </w:rPr>
      </w:pPr>
      <w:bookmarkStart w:id="82" w:name="_Toc18025"/>
      <w:r>
        <w:rPr>
          <w:rFonts w:hint="eastAsia"/>
          <w:lang w:val="en-US" w:eastAsia="zh-CN"/>
        </w:rPr>
        <w:t>3.5.6学生会建设及活动</w:t>
      </w:r>
      <w:bookmarkEnd w:id="82"/>
    </w:p>
    <w:p>
      <w:pPr>
        <w:spacing w:line="560" w:lineRule="exact"/>
        <w:ind w:firstLine="600"/>
        <w:rPr>
          <w:rFonts w:hint="default" w:ascii="仿宋_GB2312" w:hAnsi="仿宋_GB2312" w:cs="仿宋_GB2312"/>
          <w:color w:val="auto"/>
          <w:sz w:val="32"/>
          <w:szCs w:val="32"/>
          <w:lang w:val="en-US" w:eastAsia="zh-CN"/>
        </w:rPr>
      </w:pPr>
      <w:r>
        <w:rPr>
          <w:rFonts w:hint="default" w:ascii="仿宋_GB2312" w:hAnsi="仿宋_GB2312" w:cs="仿宋_GB2312"/>
          <w:color w:val="auto"/>
          <w:sz w:val="32"/>
          <w:szCs w:val="32"/>
          <w:lang w:val="en-US" w:eastAsia="zh-CN"/>
        </w:rPr>
        <w:t>为进一步加强学生会干部队伍建设，增强广大学生会干部的凝聚力和战斗力，更好地发挥学生会干部自我教育、自我管理、自我服务的作用，本着“公正、公开、公平”的原则，遵循严格选拔的程序，本年度举行了新一届学生会干部入职宣誓仪式。</w:t>
      </w:r>
    </w:p>
    <w:p>
      <w:pPr>
        <w:spacing w:line="560" w:lineRule="exact"/>
        <w:ind w:firstLine="600"/>
        <w:rPr>
          <w:rFonts w:hint="default" w:ascii="仿宋_GB2312" w:hAnsi="仿宋_GB2312" w:cs="仿宋_GB2312"/>
          <w:color w:val="auto"/>
          <w:sz w:val="32"/>
          <w:szCs w:val="32"/>
          <w:lang w:val="en-US" w:eastAsia="zh-CN"/>
        </w:rPr>
      </w:pPr>
      <w:r>
        <w:rPr>
          <w:rFonts w:hint="default" w:ascii="仿宋_GB2312" w:hAnsi="仿宋_GB2312" w:cs="仿宋_GB2312"/>
          <w:color w:val="auto"/>
          <w:sz w:val="32"/>
          <w:szCs w:val="32"/>
          <w:lang w:val="en-US" w:eastAsia="zh-CN"/>
        </w:rPr>
        <w:t>落实团中央、省委“学党史、强信念、跟党走”学习教育活动要求，按照我省共青团党史学习教育工作部署，动员学生会干部在党史学习教育中发挥“三带头、三表率”作用，认真完成组织化学习各项任务，广泛发动各班开展党史学习。</w:t>
      </w:r>
    </w:p>
    <w:p>
      <w:pPr>
        <w:spacing w:line="560" w:lineRule="exact"/>
        <w:ind w:firstLine="600"/>
        <w:rPr>
          <w:rFonts w:hint="default" w:ascii="仿宋_GB2312" w:hAnsi="仿宋_GB2312" w:cs="仿宋_GB2312"/>
          <w:color w:val="auto"/>
          <w:sz w:val="32"/>
          <w:szCs w:val="32"/>
          <w:lang w:val="en-US" w:eastAsia="zh-CN"/>
        </w:rPr>
      </w:pPr>
      <w:r>
        <w:rPr>
          <w:rFonts w:hint="default" w:ascii="仿宋_GB2312" w:hAnsi="仿宋_GB2312" w:cs="仿宋_GB2312"/>
          <w:color w:val="auto"/>
          <w:sz w:val="32"/>
          <w:szCs w:val="32"/>
          <w:lang w:val="en-US" w:eastAsia="zh-CN"/>
        </w:rPr>
        <w:t>落实共青团中央、教育部、全国学联《关于学联学生会工作人员改进作风服务同学的若干规定》等相关文件精神，开展了作风建设警示教育活动，不断改进工作作风。</w:t>
      </w:r>
    </w:p>
    <w:p>
      <w:pPr>
        <w:spacing w:line="560" w:lineRule="exact"/>
        <w:ind w:firstLine="600"/>
        <w:rPr>
          <w:rFonts w:hint="default" w:ascii="仿宋_GB2312" w:hAnsi="仿宋_GB2312" w:cs="仿宋_GB2312"/>
          <w:color w:val="auto"/>
          <w:sz w:val="32"/>
          <w:szCs w:val="32"/>
          <w:lang w:val="en-US" w:eastAsia="zh-CN"/>
        </w:rPr>
      </w:pPr>
      <w:r>
        <w:rPr>
          <w:rFonts w:hint="default" w:ascii="仿宋_GB2312" w:hAnsi="仿宋_GB2312" w:cs="仿宋_GB2312"/>
          <w:color w:val="auto"/>
          <w:sz w:val="32"/>
          <w:szCs w:val="32"/>
          <w:lang w:val="en-US" w:eastAsia="zh-CN"/>
        </w:rPr>
        <w:t>我校学生会坚持每周两次例会，一次是业务工作汇报会，一次是政治学习会。通过两会的开展，把“牢记服务宗旨；永葆理想情怀；勤勉务实做事；营造平等氛围；摒弃庸俗习气”作为工作准则和行动指南，不断提升学生会工作人员的综合素质和管理水平。</w:t>
      </w:r>
    </w:p>
    <w:p>
      <w:pPr>
        <w:pStyle w:val="3"/>
        <w:bidi w:val="0"/>
        <w:rPr>
          <w:rFonts w:hint="eastAsia"/>
        </w:rPr>
      </w:pPr>
      <w:bookmarkStart w:id="83" w:name="_Toc10108"/>
      <w:bookmarkStart w:id="84" w:name="_Toc22648"/>
      <w:r>
        <w:rPr>
          <w:rFonts w:hint="eastAsia"/>
        </w:rPr>
        <w:t>3.6党建情况</w:t>
      </w:r>
      <w:bookmarkEnd w:id="83"/>
      <w:bookmarkEnd w:id="8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深入贯彻党的十九大会议精神，以习近平新时代中国特色社会主义思想为指导，认真贯彻落实上级党委关于</w:t>
      </w:r>
      <w:r>
        <w:rPr>
          <w:rFonts w:hint="eastAsia"/>
          <w:sz w:val="32"/>
          <w:szCs w:val="32"/>
        </w:rPr>
        <w:fldChar w:fldCharType="begin"/>
      </w:r>
      <w:r>
        <w:rPr>
          <w:rFonts w:hint="eastAsia"/>
          <w:sz w:val="32"/>
          <w:szCs w:val="32"/>
        </w:rPr>
        <w:instrText xml:space="preserve"> HYPERLINK "http://m.haoword.com/gongzuozongjie/dangjian/" \t "http://m.haoword.com/gongzuozongjie/dangjian/_blank" </w:instrText>
      </w:r>
      <w:r>
        <w:rPr>
          <w:rFonts w:hint="eastAsia"/>
          <w:sz w:val="32"/>
          <w:szCs w:val="32"/>
        </w:rPr>
        <w:fldChar w:fldCharType="separate"/>
      </w:r>
      <w:r>
        <w:rPr>
          <w:rFonts w:hint="eastAsia"/>
          <w:sz w:val="32"/>
          <w:szCs w:val="32"/>
        </w:rPr>
        <w:t>党建</w:t>
      </w:r>
      <w:r>
        <w:rPr>
          <w:rFonts w:hint="eastAsia"/>
          <w:sz w:val="32"/>
          <w:szCs w:val="32"/>
        </w:rPr>
        <w:fldChar w:fldCharType="end"/>
      </w:r>
      <w:r>
        <w:rPr>
          <w:rFonts w:hint="eastAsia"/>
          <w:sz w:val="32"/>
          <w:szCs w:val="32"/>
        </w:rPr>
        <w:t>工作的具体部署，补齐短板、强基固本，切实了加强党建工作，提高了党员的整体素质，提升了党支部的凝聚力、战斗力，有效推进了学校的各项工作。严格落实支部党建责任制，切实形成了领导带头抓，逐级传导压力，层层抓落实的工作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学校组织党员干部开展系列政治理论学习，本年度认真学习了十九大精神、党史、习近平谈治国理政</w:t>
      </w:r>
      <w:r>
        <w:rPr>
          <w:rFonts w:hint="eastAsia"/>
          <w:sz w:val="32"/>
          <w:szCs w:val="32"/>
          <w:lang w:val="en-US" w:eastAsia="zh-CN"/>
        </w:rPr>
        <w:t>第三卷</w:t>
      </w:r>
      <w:r>
        <w:rPr>
          <w:rFonts w:hint="eastAsia"/>
          <w:sz w:val="32"/>
          <w:szCs w:val="32"/>
        </w:rPr>
        <w:t>、十九届六中全会精神等，以多种形式学习理论的同时，通过查找问题，提出整改措施，深入反思，极大提高了党员干部认真履责的积极性。同时，学校还定期开展了全校性的政治理论学习，提高了全体师生的整体素质。按规定落实“三会一课”制度，开展好“主题党日活动”</w:t>
      </w:r>
      <w:r>
        <w:rPr>
          <w:rFonts w:hint="eastAsia"/>
          <w:sz w:val="32"/>
          <w:szCs w:val="32"/>
          <w:lang w:val="en-US" w:eastAsia="zh-CN"/>
        </w:rPr>
        <w:t>和</w:t>
      </w:r>
      <w:r>
        <w:rPr>
          <w:rFonts w:hint="eastAsia"/>
          <w:sz w:val="32"/>
          <w:szCs w:val="32"/>
        </w:rPr>
        <w:t>按时缴纳党费等。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加强对党员干部理想信念和廉洁从政教育，通过学习、培训、专题组织生活等形式，使廉政教育、警示教育实现制度化、常态化。学校还将节日活动、主题班会、国旗下讲话、社会实践等活动纳入课程管理范围，通过丰富多彩的主题教育，对学生进行纪律教育、习惯培养、品质锻造、树立志向抱负，以推动学校持续、稳定、健康发展。</w:t>
      </w:r>
    </w:p>
    <w:p>
      <w:pPr>
        <w:pStyle w:val="2"/>
        <w:bidi w:val="0"/>
        <w:rPr>
          <w:rFonts w:hint="eastAsia"/>
        </w:rPr>
      </w:pPr>
      <w:bookmarkStart w:id="85" w:name="_Toc25807"/>
      <w:bookmarkStart w:id="86" w:name="_Toc11035"/>
      <w:r>
        <w:rPr>
          <w:rFonts w:hint="eastAsia"/>
          <w:lang w:val="en-US" w:eastAsia="zh-CN"/>
        </w:rPr>
        <w:t>4.</w:t>
      </w:r>
      <w:r>
        <w:rPr>
          <w:rFonts w:hint="eastAsia"/>
        </w:rPr>
        <w:t>校企合作</w:t>
      </w:r>
      <w:bookmarkEnd w:id="85"/>
      <w:bookmarkEnd w:id="86"/>
    </w:p>
    <w:p>
      <w:pPr>
        <w:pStyle w:val="3"/>
        <w:bidi w:val="0"/>
        <w:rPr>
          <w:rFonts w:hint="eastAsia"/>
        </w:rPr>
      </w:pPr>
      <w:bookmarkStart w:id="87" w:name="_Toc3491"/>
      <w:bookmarkStart w:id="88" w:name="_Toc24749"/>
      <w:r>
        <w:rPr>
          <w:rFonts w:hint="eastAsia"/>
        </w:rPr>
        <w:t>4.1校企合作开展情况和效果</w:t>
      </w:r>
      <w:bookmarkEnd w:id="87"/>
      <w:bookmarkEnd w:id="88"/>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一</w:t>
      </w:r>
      <w:r>
        <w:rPr>
          <w:rFonts w:hint="eastAsia" w:ascii="仿宋_GB2312" w:hAnsi="仿宋_GB2312" w:eastAsia="仿宋_GB2312" w:cs="仿宋_GB2312"/>
          <w:sz w:val="32"/>
          <w:szCs w:val="32"/>
        </w:rPr>
        <w:t>年来，学校通过校企合作铺垫就业渠道，深化产教融合，与新乡大北农农牧有限公司、辉县金源汽车维修有限公司、河南中太石化有限公司等多家企业进行深度合作，通过共育人才，使学生获得了实际的工作体验，使其顺利就业，有效提高了学生的职业能力，使毕业生快速的由学生向社会人的角色转变，帮助学生掌握就业信息，实现了学生就业和企业用工的顺利对接。</w:t>
      </w:r>
    </w:p>
    <w:p>
      <w:pPr>
        <w:pStyle w:val="3"/>
        <w:bidi w:val="0"/>
        <w:rPr>
          <w:rFonts w:hint="eastAsia"/>
        </w:rPr>
      </w:pPr>
      <w:bookmarkStart w:id="89" w:name="_Toc30526"/>
      <w:bookmarkStart w:id="90" w:name="_Toc8116"/>
      <w:r>
        <w:rPr>
          <w:rFonts w:hint="eastAsia"/>
        </w:rPr>
        <w:t>4.2 学生实习情况</w:t>
      </w:r>
      <w:bookmarkEnd w:id="89"/>
      <w:bookmarkEnd w:id="90"/>
    </w:p>
    <w:p>
      <w:pPr>
        <w:spacing w:line="560" w:lineRule="exact"/>
        <w:ind w:firstLine="600"/>
        <w:rPr>
          <w:rFonts w:hint="eastAsia" w:ascii="仿宋_GB2312" w:hAnsi="仿宋_GB2312" w:cs="仿宋_GB2312"/>
          <w:color w:val="auto"/>
          <w:sz w:val="32"/>
          <w:szCs w:val="32"/>
        </w:rPr>
      </w:pPr>
      <w:r>
        <w:rPr>
          <w:rFonts w:hint="eastAsia" w:ascii="仿宋_GB2312" w:hAnsi="仿宋_GB2312" w:cs="仿宋_GB2312"/>
          <w:color w:val="auto"/>
          <w:sz w:val="32"/>
          <w:szCs w:val="32"/>
        </w:rPr>
        <w:t>学校严格按照《教育部等五部门关于职业学校学生实习管理规定》的要求，制定了《辉县市第一职业中等专业学校学生关于实习实训管理细则》，将专业实习与技能培训有机结合，利用校内外实习实训基地，以职业教育活动周、</w:t>
      </w:r>
      <w:r>
        <w:rPr>
          <w:rFonts w:hint="eastAsia" w:ascii="仿宋_GB2312" w:hAnsi="仿宋_GB2312" w:cs="仿宋_GB2312"/>
          <w:color w:val="auto"/>
          <w:sz w:val="32"/>
          <w:szCs w:val="32"/>
          <w:lang w:val="en-US" w:eastAsia="zh-CN"/>
        </w:rPr>
        <w:t>技能</w:t>
      </w:r>
      <w:r>
        <w:rPr>
          <w:rFonts w:hint="eastAsia" w:ascii="仿宋_GB2312" w:hAnsi="仿宋_GB2312" w:cs="仿宋_GB2312"/>
          <w:color w:val="auto"/>
          <w:sz w:val="32"/>
          <w:szCs w:val="32"/>
        </w:rPr>
        <w:t>文化艺术节为活动载体，瞄准省市级技能大赛，明确任务，成效显著。</w:t>
      </w:r>
    </w:p>
    <w:p>
      <w:pPr>
        <w:pStyle w:val="3"/>
        <w:bidi w:val="0"/>
        <w:rPr>
          <w:rFonts w:hint="eastAsia"/>
          <w:lang w:val="en-US" w:eastAsia="zh-CN"/>
        </w:rPr>
      </w:pPr>
      <w:bookmarkStart w:id="91" w:name="_Toc28156"/>
      <w:bookmarkStart w:id="92" w:name="_Toc19164"/>
      <w:r>
        <w:rPr>
          <w:rFonts w:hint="eastAsia"/>
          <w:lang w:val="en-US" w:eastAsia="zh-CN"/>
        </w:rPr>
        <w:t>4.3集团化办学情况</w:t>
      </w:r>
      <w:bookmarkEnd w:id="91"/>
      <w:bookmarkEnd w:id="92"/>
    </w:p>
    <w:p>
      <w:pPr>
        <w:spacing w:line="560" w:lineRule="exact"/>
        <w:ind w:firstLine="600"/>
        <w:rPr>
          <w:rFonts w:hint="default" w:ascii="仿宋_GB2312" w:hAnsi="仿宋_GB2312" w:cs="仿宋_GB2312"/>
          <w:color w:val="auto"/>
          <w:sz w:val="32"/>
          <w:szCs w:val="32"/>
          <w:lang w:val="en-US" w:eastAsia="zh-CN"/>
        </w:rPr>
      </w:pPr>
      <w:r>
        <w:rPr>
          <w:rFonts w:hint="default" w:ascii="仿宋_GB2312" w:hAnsi="仿宋_GB2312" w:cs="仿宋_GB2312"/>
          <w:color w:val="auto"/>
          <w:sz w:val="32"/>
          <w:szCs w:val="32"/>
          <w:lang w:val="en-US" w:eastAsia="zh-CN"/>
        </w:rPr>
        <w:t>集团化办学是方向也是目标，能使职业教育实现资源共享、优势互补。近年来，学校经常与兄弟学校沟通交流、互访学习先进的管理经验，特别是在对口升学、技能大赛等方面，不断改进方法，与时俱进，提升办学质量。</w:t>
      </w:r>
    </w:p>
    <w:p>
      <w:pPr>
        <w:pStyle w:val="2"/>
        <w:bidi w:val="0"/>
        <w:rPr>
          <w:rFonts w:hint="eastAsia"/>
        </w:rPr>
      </w:pPr>
      <w:bookmarkStart w:id="93" w:name="_Toc24064"/>
      <w:bookmarkStart w:id="94" w:name="_Toc14938"/>
      <w:r>
        <w:rPr>
          <w:rFonts w:hint="eastAsia"/>
          <w:lang w:val="en-US" w:eastAsia="zh-CN"/>
        </w:rPr>
        <w:t>5.</w:t>
      </w:r>
      <w:r>
        <w:rPr>
          <w:rFonts w:hint="eastAsia"/>
        </w:rPr>
        <w:t>社会贡献</w:t>
      </w:r>
      <w:bookmarkEnd w:id="93"/>
      <w:bookmarkEnd w:id="94"/>
    </w:p>
    <w:p>
      <w:pPr>
        <w:pStyle w:val="3"/>
        <w:bidi w:val="0"/>
        <w:rPr>
          <w:rFonts w:hint="eastAsia"/>
        </w:rPr>
      </w:pPr>
      <w:bookmarkStart w:id="95" w:name="_Toc11052"/>
      <w:bookmarkStart w:id="96" w:name="_Toc23540"/>
      <w:r>
        <w:rPr>
          <w:rFonts w:hint="eastAsia"/>
        </w:rPr>
        <w:t>5.1技术技能人才培养</w:t>
      </w:r>
      <w:bookmarkEnd w:id="95"/>
      <w:bookmarkEnd w:id="96"/>
    </w:p>
    <w:p>
      <w:pPr>
        <w:spacing w:line="560" w:lineRule="exact"/>
        <w:ind w:firstLine="600"/>
        <w:rPr>
          <w:rFonts w:hint="eastAsia" w:ascii="仿宋_GB2312" w:hAnsi="仿宋_GB2312" w:cs="仿宋_GB2312"/>
          <w:color w:val="auto"/>
          <w:sz w:val="32"/>
          <w:szCs w:val="32"/>
        </w:rPr>
      </w:pPr>
      <w:r>
        <w:rPr>
          <w:rFonts w:hint="eastAsia" w:ascii="仿宋_GB2312" w:hAnsi="仿宋_GB2312" w:cs="仿宋_GB2312"/>
          <w:color w:val="auto"/>
          <w:sz w:val="32"/>
          <w:szCs w:val="32"/>
        </w:rPr>
        <w:t>学校始终坚持党的职业教育办学方针，明确办学思路，科学管理，强化内涵建设，积极进行教育教学改革，进一步抓好各专业教学实习实训，以提高学生的动手能力和专业技能，着力培养学生综合职业能力和就业竞争力，突显学校特色，更好地服务于当地经济和社会发展。</w:t>
      </w:r>
    </w:p>
    <w:p>
      <w:pPr>
        <w:spacing w:line="560" w:lineRule="exact"/>
        <w:ind w:firstLine="600"/>
        <w:rPr>
          <w:rFonts w:hint="eastAsia" w:ascii="仿宋_GB2312" w:hAnsi="仿宋_GB2312" w:eastAsia="仿宋_GB2312" w:cs="仿宋_GB2312"/>
          <w:color w:val="auto"/>
          <w:sz w:val="32"/>
          <w:szCs w:val="32"/>
          <w:lang w:eastAsia="zh-CN"/>
        </w:rPr>
      </w:pPr>
      <w:r>
        <w:rPr>
          <w:rFonts w:hint="eastAsia" w:ascii="仿宋_GB2312" w:hAnsi="仿宋_GB2312" w:cs="仿宋_GB2312"/>
          <w:color w:val="auto"/>
          <w:sz w:val="32"/>
          <w:szCs w:val="32"/>
        </w:rPr>
        <w:t>学校还积极与相关行业、企业开展合作，充分利用实训基地，不断探索合作模式，推动1+X证书制度的完善，聘请有一技之长的企业骨干深入课堂与学生面对面，鼓励学生积极参加专业技能大赛，努力把学生培养成为创新型、技能型人才，受到了企业、用人单位及社会的一致好评</w:t>
      </w:r>
      <w:r>
        <w:rPr>
          <w:rFonts w:hint="eastAsia" w:ascii="仿宋_GB2312" w:hAnsi="仿宋_GB2312" w:cs="仿宋_GB2312"/>
          <w:color w:val="auto"/>
          <w:sz w:val="32"/>
          <w:szCs w:val="32"/>
          <w:lang w:eastAsia="zh-CN"/>
        </w:rPr>
        <w:t>。</w:t>
      </w:r>
    </w:p>
    <w:p>
      <w:pPr>
        <w:pStyle w:val="3"/>
        <w:bidi w:val="0"/>
        <w:rPr>
          <w:rFonts w:hint="eastAsia"/>
        </w:rPr>
      </w:pPr>
      <w:bookmarkStart w:id="97" w:name="_Toc24114"/>
      <w:bookmarkStart w:id="98" w:name="_Toc7705"/>
      <w:r>
        <w:rPr>
          <w:rFonts w:hint="eastAsia"/>
        </w:rPr>
        <w:t>5.2社会服务</w:t>
      </w:r>
      <w:bookmarkEnd w:id="97"/>
      <w:bookmarkEnd w:id="98"/>
    </w:p>
    <w:p>
      <w:pPr>
        <w:pStyle w:val="3"/>
        <w:keepNext/>
        <w:keepLines/>
        <w:pageBreakBefore w:val="0"/>
        <w:widowControl w:val="0"/>
        <w:kinsoku/>
        <w:wordWrap/>
        <w:overflowPunct/>
        <w:topLinePunct w:val="0"/>
        <w:autoSpaceDE/>
        <w:autoSpaceDN/>
        <w:bidi w:val="0"/>
        <w:adjustRightInd/>
        <w:snapToGrid/>
        <w:ind w:left="0" w:leftChars="0" w:firstLine="616" w:firstLineChars="200"/>
        <w:textAlignment w:val="auto"/>
        <w:rPr>
          <w:rFonts w:hint="eastAsia" w:ascii="仿宋_GB2312" w:hAnsi="仿宋_GB2312" w:eastAsia="仿宋_GB2312" w:cs="仿宋_GB2312"/>
          <w:b w:val="0"/>
          <w:color w:val="auto"/>
          <w:spacing w:val="-6"/>
          <w:kern w:val="2"/>
          <w:sz w:val="32"/>
          <w:szCs w:val="32"/>
          <w:lang w:val="en-US" w:eastAsia="zh-CN" w:bidi="ar-SA"/>
        </w:rPr>
      </w:pPr>
      <w:bookmarkStart w:id="99" w:name="_Toc24302"/>
      <w:bookmarkStart w:id="100" w:name="_Toc18997"/>
      <w:bookmarkStart w:id="101" w:name="_Toc15677"/>
      <w:r>
        <w:rPr>
          <w:rFonts w:hint="eastAsia" w:ascii="仿宋_GB2312" w:hAnsi="仿宋_GB2312" w:eastAsia="仿宋_GB2312" w:cs="仿宋_GB2312"/>
          <w:b w:val="0"/>
          <w:color w:val="auto"/>
          <w:spacing w:val="-6"/>
          <w:kern w:val="2"/>
          <w:sz w:val="32"/>
          <w:szCs w:val="32"/>
          <w:lang w:val="en-US" w:eastAsia="zh-CN" w:bidi="ar-SA"/>
        </w:rPr>
        <w:t>学校本着以中职教育为主体，以做好研学旅行和社区培训为两翼的“一体两翼”的办学模式。学校高度重视职业培训，将职业培训与学历教育视作同等重要的地位，充分依托辉县市社区学院服务中心不断改革职业技能培训制度，落实全民终身学习教育培训，打破人才的年龄、资历、身份和比例等条件限制，学校充分利用专业特色、党建教育基地、劳动教育实践基地等，发挥专业师资和实训基地的优势，坚持开展专业技术和送科技下乡服务，提升服务社会的能力。2021年，开展了种植、养殖、计算机等专业的培训，累计达1200人次。另外学校还积极利用职业教育活动周，宣传职业教育理念、政策、成果等，让社会进一步了解职业教育，从而支持和参与职业教育发展。</w:t>
      </w:r>
      <w:bookmarkEnd w:id="99"/>
      <w:bookmarkEnd w:id="100"/>
      <w:bookmarkEnd w:id="101"/>
    </w:p>
    <w:p>
      <w:pPr>
        <w:pStyle w:val="3"/>
        <w:bidi w:val="0"/>
        <w:rPr>
          <w:rFonts w:hint="eastAsia"/>
        </w:rPr>
      </w:pPr>
      <w:bookmarkStart w:id="102" w:name="_Toc2265"/>
      <w:bookmarkStart w:id="103" w:name="_Toc24517"/>
      <w:r>
        <w:rPr>
          <w:rFonts w:hint="eastAsia"/>
        </w:rPr>
        <w:t>5.3对口支援</w:t>
      </w:r>
      <w:bookmarkEnd w:id="102"/>
      <w:bookmarkEnd w:id="103"/>
    </w:p>
    <w:p>
      <w:pPr>
        <w:pStyle w:val="26"/>
        <w:bidi w:val="0"/>
        <w:ind w:firstLine="720"/>
        <w:rPr>
          <w:rFonts w:hint="eastAsia" w:ascii="Times New Roman" w:hAnsi="Times New Roman"/>
          <w:lang w:val="en-US" w:eastAsia="zh-CN"/>
        </w:rPr>
      </w:pPr>
      <w:bookmarkStart w:id="104" w:name="_Toc9796"/>
      <w:r>
        <w:rPr>
          <w:rFonts w:hint="eastAsia" w:ascii="Times New Roman" w:hAnsi="Times New Roman"/>
          <w:lang w:val="en-US" w:eastAsia="zh-CN"/>
        </w:rPr>
        <w:t>5.3.1对口扶贫</w:t>
      </w:r>
      <w:bookmarkEnd w:id="104"/>
    </w:p>
    <w:p>
      <w:pPr>
        <w:spacing w:line="560" w:lineRule="exact"/>
        <w:ind w:firstLine="616" w:firstLineChars="200"/>
        <w:rPr>
          <w:rFonts w:hint="eastAsia" w:ascii="仿宋_GB2312" w:hAnsi="仿宋_GB2312" w:cs="仿宋_GB2312"/>
          <w:color w:val="auto"/>
          <w:spacing w:val="-6"/>
          <w:sz w:val="32"/>
          <w:szCs w:val="32"/>
        </w:rPr>
      </w:pPr>
      <w:r>
        <w:rPr>
          <w:rFonts w:hint="eastAsia" w:ascii="仿宋_GB2312" w:hAnsi="仿宋_GB2312" w:cs="仿宋_GB2312"/>
          <w:color w:val="auto"/>
          <w:spacing w:val="-6"/>
          <w:sz w:val="32"/>
          <w:szCs w:val="32"/>
        </w:rPr>
        <w:t>学校继续承担着辉县市南寨村结对帮扶工作，按照脱贫工作领导小组的要求，明确专人负责，并抽调3名骨干教师继续驻村，结合南寨村实际情况，把巩固拓展脱贫攻坚成果和乡村振兴有机结合起来，扎实开展工作。学校利用专业优势在南寨村开展了电子商务、种植等技能培训；另外学校充发挥市科技特派员的优势，多次组织种植专业教师到南寨村开展科技扶贫、送教下乡活动，取得了较好的效果，更是受到了市、乡</w:t>
      </w:r>
      <w:r>
        <w:rPr>
          <w:rFonts w:hint="eastAsia" w:ascii="仿宋_GB2312" w:hAnsi="仿宋_GB2312" w:cs="仿宋_GB2312"/>
          <w:color w:val="auto"/>
          <w:spacing w:val="-6"/>
          <w:sz w:val="32"/>
          <w:szCs w:val="32"/>
          <w:lang w:val="en-US" w:eastAsia="zh-CN"/>
        </w:rPr>
        <w:t>、</w:t>
      </w:r>
      <w:r>
        <w:rPr>
          <w:rFonts w:hint="eastAsia" w:ascii="仿宋_GB2312" w:hAnsi="仿宋_GB2312" w:cs="仿宋_GB2312"/>
          <w:color w:val="auto"/>
          <w:spacing w:val="-6"/>
          <w:sz w:val="32"/>
          <w:szCs w:val="32"/>
        </w:rPr>
        <w:t>村和广大群众的一致好评。</w:t>
      </w:r>
    </w:p>
    <w:p>
      <w:pPr>
        <w:pStyle w:val="3"/>
        <w:bidi w:val="0"/>
        <w:rPr>
          <w:rFonts w:hint="eastAsia"/>
          <w:lang w:val="en-US" w:eastAsia="zh-CN"/>
        </w:rPr>
      </w:pPr>
      <w:bookmarkStart w:id="105" w:name="_Toc4676"/>
      <w:bookmarkStart w:id="106" w:name="_Toc32431"/>
      <w:r>
        <w:rPr>
          <w:rFonts w:hint="eastAsia"/>
          <w:lang w:val="en-US" w:eastAsia="zh-CN"/>
        </w:rPr>
        <w:t>5.4服务抗疫</w:t>
      </w:r>
      <w:bookmarkEnd w:id="105"/>
      <w:bookmarkEnd w:id="106"/>
    </w:p>
    <w:p>
      <w:pPr>
        <w:spacing w:line="560" w:lineRule="exact"/>
        <w:ind w:firstLine="600"/>
        <w:rPr>
          <w:rFonts w:hint="default" w:ascii="仿宋_GB2312" w:hAnsi="仿宋_GB2312" w:cs="仿宋_GB2312"/>
          <w:color w:val="auto"/>
          <w:spacing w:val="-6"/>
          <w:sz w:val="32"/>
          <w:szCs w:val="32"/>
          <w:lang w:val="en-US" w:eastAsia="zh-CN"/>
        </w:rPr>
      </w:pPr>
      <w:r>
        <w:rPr>
          <w:rFonts w:hint="default" w:ascii="仿宋_GB2312" w:hAnsi="仿宋_GB2312" w:cs="仿宋_GB2312"/>
          <w:color w:val="auto"/>
          <w:spacing w:val="-6"/>
          <w:sz w:val="32"/>
          <w:szCs w:val="32"/>
          <w:lang w:val="en-US" w:eastAsia="zh-CN"/>
        </w:rPr>
        <w:t>认真做好复学工作，高标准完成前期物资的储备、校园进行全面消杀工作、师生健康数据统计和</w:t>
      </w:r>
      <w:r>
        <w:rPr>
          <w:rFonts w:hint="eastAsia" w:ascii="仿宋_GB2312" w:hAnsi="仿宋_GB2312" w:cs="仿宋_GB2312"/>
          <w:color w:val="auto"/>
          <w:spacing w:val="-6"/>
          <w:sz w:val="32"/>
          <w:szCs w:val="32"/>
          <w:lang w:val="en-US" w:eastAsia="zh-CN"/>
        </w:rPr>
        <w:t>配合所在地全员</w:t>
      </w:r>
      <w:r>
        <w:rPr>
          <w:rFonts w:hint="default" w:ascii="仿宋_GB2312" w:hAnsi="仿宋_GB2312" w:cs="仿宋_GB2312"/>
          <w:color w:val="auto"/>
          <w:spacing w:val="-6"/>
          <w:sz w:val="32"/>
          <w:szCs w:val="32"/>
          <w:lang w:val="en-US" w:eastAsia="zh-CN"/>
        </w:rPr>
        <w:t>核酸检测</w:t>
      </w:r>
      <w:r>
        <w:rPr>
          <w:rFonts w:hint="eastAsia" w:ascii="仿宋_GB2312" w:hAnsi="仿宋_GB2312" w:cs="仿宋_GB2312"/>
          <w:color w:val="auto"/>
          <w:spacing w:val="-6"/>
          <w:sz w:val="32"/>
          <w:szCs w:val="32"/>
          <w:lang w:val="en-US" w:eastAsia="zh-CN"/>
        </w:rPr>
        <w:t>工作</w:t>
      </w:r>
      <w:r>
        <w:rPr>
          <w:rFonts w:hint="default" w:ascii="仿宋_GB2312" w:hAnsi="仿宋_GB2312" w:cs="仿宋_GB2312"/>
          <w:color w:val="auto"/>
          <w:spacing w:val="-6"/>
          <w:sz w:val="32"/>
          <w:szCs w:val="32"/>
          <w:lang w:val="en-US" w:eastAsia="zh-CN"/>
        </w:rPr>
        <w:t>，实行“日报告、零报告”</w:t>
      </w:r>
      <w:r>
        <w:rPr>
          <w:rFonts w:hint="eastAsia" w:ascii="仿宋_GB2312" w:hAnsi="仿宋_GB2312" w:cs="仿宋_GB2312"/>
          <w:color w:val="auto"/>
          <w:spacing w:val="-6"/>
          <w:sz w:val="32"/>
          <w:szCs w:val="32"/>
          <w:lang w:val="en-US" w:eastAsia="zh-CN"/>
        </w:rPr>
        <w:t>、</w:t>
      </w:r>
      <w:r>
        <w:rPr>
          <w:rFonts w:hint="default" w:ascii="仿宋_GB2312" w:hAnsi="仿宋_GB2312" w:cs="仿宋_GB2312"/>
          <w:color w:val="auto"/>
          <w:spacing w:val="-6"/>
          <w:sz w:val="32"/>
          <w:szCs w:val="32"/>
          <w:lang w:val="en-US" w:eastAsia="zh-CN"/>
        </w:rPr>
        <w:t xml:space="preserve">“晨检、午检”制度，保证复学复课期间无一人感染。 </w:t>
      </w:r>
    </w:p>
    <w:p>
      <w:pPr>
        <w:pStyle w:val="2"/>
        <w:bidi w:val="0"/>
        <w:rPr>
          <w:rFonts w:hint="eastAsia"/>
        </w:rPr>
      </w:pPr>
      <w:bookmarkStart w:id="107" w:name="_Toc4525"/>
      <w:bookmarkStart w:id="108" w:name="_Toc3877"/>
      <w:r>
        <w:rPr>
          <w:rFonts w:hint="eastAsia"/>
        </w:rPr>
        <w:t>6.举办者履责</w:t>
      </w:r>
      <w:bookmarkEnd w:id="107"/>
      <w:bookmarkEnd w:id="108"/>
    </w:p>
    <w:p>
      <w:pPr>
        <w:pStyle w:val="3"/>
        <w:bidi w:val="0"/>
        <w:rPr>
          <w:rFonts w:hint="eastAsia"/>
        </w:rPr>
      </w:pPr>
      <w:bookmarkStart w:id="109" w:name="_Toc27425"/>
      <w:bookmarkStart w:id="110" w:name="_Toc30801"/>
      <w:r>
        <w:rPr>
          <w:rFonts w:hint="eastAsia"/>
        </w:rPr>
        <w:t>6.1经费</w:t>
      </w:r>
      <w:bookmarkEnd w:id="109"/>
      <w:bookmarkEnd w:id="110"/>
    </w:p>
    <w:p>
      <w:p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20</w:t>
      </w:r>
      <w:r>
        <w:rPr>
          <w:rFonts w:hint="eastAsia" w:ascii="仿宋_GB2312" w:hAnsi="仿宋_GB2312" w:cs="仿宋_GB2312"/>
          <w:color w:val="auto"/>
          <w:sz w:val="32"/>
          <w:szCs w:val="32"/>
          <w:lang w:val="en-US" w:eastAsia="zh-CN"/>
        </w:rPr>
        <w:t>21</w:t>
      </w:r>
      <w:r>
        <w:rPr>
          <w:rFonts w:hint="eastAsia" w:ascii="仿宋_GB2312" w:hAnsi="仿宋_GB2312" w:cs="仿宋_GB2312"/>
          <w:color w:val="auto"/>
          <w:sz w:val="32"/>
          <w:szCs w:val="32"/>
        </w:rPr>
        <w:t>年度，上级下拨免学费、助学金补助资金按标准足额拨付到位，学校严格按照有关规定落实到位</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免学费享受人数2049人次，总金额为168.595万元；中职助学金享受人数856人次，金额为85.7万元。本年度无重大项目投入。</w:t>
      </w:r>
    </w:p>
    <w:p>
      <w:pPr>
        <w:pStyle w:val="3"/>
        <w:bidi w:val="0"/>
        <w:rPr>
          <w:rFonts w:hint="eastAsia"/>
        </w:rPr>
      </w:pPr>
      <w:bookmarkStart w:id="111" w:name="_Toc6057"/>
      <w:bookmarkStart w:id="112" w:name="_Toc30229"/>
      <w:r>
        <w:rPr>
          <w:rFonts w:hint="eastAsia"/>
        </w:rPr>
        <w:t>6.2政策措施</w:t>
      </w:r>
      <w:bookmarkEnd w:id="111"/>
      <w:bookmarkEnd w:id="112"/>
    </w:p>
    <w:p>
      <w:p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辉县市委市政府十分重视职业教育发展，为满足师资需求，今年为职业学校新招15名教师，由于受新冠疫情影响，暂未考试。</w:t>
      </w:r>
    </w:p>
    <w:p>
      <w:pPr>
        <w:pStyle w:val="3"/>
        <w:bidi w:val="0"/>
        <w:rPr>
          <w:rFonts w:hint="eastAsia"/>
        </w:rPr>
      </w:pPr>
      <w:bookmarkStart w:id="113" w:name="_Toc26522"/>
      <w:bookmarkStart w:id="114" w:name="_Toc30241"/>
      <w:r>
        <w:rPr>
          <w:rFonts w:hint="eastAsia"/>
          <w:lang w:val="en-US" w:eastAsia="zh-CN"/>
        </w:rPr>
        <w:t>7.</w:t>
      </w:r>
      <w:r>
        <w:rPr>
          <w:rFonts w:hint="eastAsia"/>
        </w:rPr>
        <w:t>特色创新</w:t>
      </w:r>
      <w:bookmarkEnd w:id="113"/>
      <w:bookmarkEnd w:id="114"/>
    </w:p>
    <w:p>
      <w:pPr>
        <w:pStyle w:val="3"/>
        <w:bidi w:val="0"/>
        <w:rPr>
          <w:rFonts w:hint="eastAsia"/>
        </w:rPr>
      </w:pPr>
      <w:bookmarkStart w:id="115" w:name="_Toc13981"/>
      <w:bookmarkStart w:id="116" w:name="_Toc23137"/>
      <w:r>
        <w:rPr>
          <w:rFonts w:hint="eastAsia"/>
          <w:lang w:val="en-US" w:eastAsia="zh-CN"/>
        </w:rPr>
        <w:t>案例1：</w:t>
      </w:r>
      <w:bookmarkEnd w:id="115"/>
      <w:r>
        <w:rPr>
          <w:rFonts w:hint="eastAsia"/>
        </w:rPr>
        <w:t>人人学读本，思政入课堂</w:t>
      </w:r>
      <w:bookmarkEnd w:id="11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bookmarkStart w:id="117" w:name="_Toc3781"/>
      <w:r>
        <w:rPr>
          <w:rFonts w:hint="eastAsia" w:ascii="仿宋_GB2312" w:hAnsi="仿宋_GB2312" w:eastAsia="仿宋_GB2312" w:cs="仿宋_GB2312"/>
          <w:sz w:val="32"/>
          <w:szCs w:val="32"/>
          <w:lang w:val="en-US" w:eastAsia="zh-CN"/>
        </w:rPr>
        <w:t>积极响应上级部门的要求，重视思想政治课教学安排，注重《习近平新时代中国特色社会主义思想学生读本》的征订和学习。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今年8月17日，接到市局师训科通知，积极安排四名思政课教师参加《习近平新时代中国特色社会主义思想学生读本》省级培训。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学期开学之初，经学校领导研究决定，全体学生征订中学版《习近平新时代中国特色社会主义思想学生读本》，要求人人学读本，并将读本学习融入课程。一、二年级每周一节读本课由思政课教师担任授课任务，毕业班由书记和思政教师以讲座形式授课，每学期两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领导非常重视课堂思政，积极参加课堂思政培训，并组织全体教职工学习课堂思政培训内容，提倡节节课要融入思政内容，公开课和优质课更应融入思政内容。一位数学老师在讲《椭圆公式》时，播放刚刚升空的神舟13号载人飞船视频，由我国自主研制的太空实验仓天宫一号的运行轨迹巧妙导入椭圆公式的授课内容，并对我国太空探索，对科技强国战略进行介绍，学生进行爱国主义教育，教学效果非常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学校领导研究决定，在今年12月份组织的校级优质课评比活动中，将增加思政入课堂的评分标准。</w:t>
      </w:r>
    </w:p>
    <w:p>
      <w:pPr>
        <w:pStyle w:val="3"/>
        <w:bidi w:val="0"/>
        <w:rPr>
          <w:rFonts w:hint="default"/>
          <w:lang w:val="en-US" w:eastAsia="zh-CN"/>
        </w:rPr>
      </w:pPr>
      <w:bookmarkStart w:id="118" w:name="_Toc20262"/>
      <w:r>
        <w:rPr>
          <w:rFonts w:hint="eastAsia"/>
          <w:lang w:val="en-US" w:eastAsia="zh-CN"/>
        </w:rPr>
        <w:t>案例2：</w:t>
      </w:r>
      <w:bookmarkEnd w:id="117"/>
      <w:r>
        <w:rPr>
          <w:rFonts w:hint="eastAsia"/>
          <w:lang w:val="en-US" w:eastAsia="zh-CN"/>
        </w:rPr>
        <w:t>洪水无情 一职有爱</w:t>
      </w:r>
      <w:bookmarkEnd w:id="11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2021年，</w:t>
      </w:r>
      <w:r>
        <w:rPr>
          <w:rFonts w:hint="eastAsia" w:ascii="仿宋_GB2312" w:hAnsi="仿宋_GB2312" w:eastAsia="仿宋_GB2312" w:cs="仿宋_GB2312"/>
          <w:sz w:val="32"/>
          <w:szCs w:val="32"/>
        </w:rPr>
        <w:t>河南突如其来的水灾牵动了全国人民的心，房屋损毁、交通受阻，多地受灾情况严重。7月21日晚上起，一场大雨袭击辉县，连续多日的大到暴雨让辉县几乎全域在洪灾中受损。特别是占城、峪河、北云门等多地的水深高达2米以上，房屋、车、农作物等受灾严重，许多村民被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洪灾之下，辉县市一职专党支部发出倡议——防汛救灾，一职在行动。2021年7月23日，全体党员干部、教师全程参与直升机向受灾乡镇运输救灾物资。部分党员干部、教师的家里也遭受了不同程度的洪水侵袭，但是他们为了让灾区的人民早日喝上水、吃上面包，他们也积极主动的参与到向灾区运输救灾物资活动中。</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灾情就是命令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月21日，校长杜帅同志接到上级通知，立刻通知全体党员干部，与救援队接头协商直升机就一职中转运输物资相关事宜；党支部书记刘学师同志要求:灾情当前，党员干部要起带头、做表率，充分发挥先锋模范作用，要把这次活动当作学习习总书记在庆祝建党100周年大会上重要讲话精神的试金石。大灾过后必有大疫，我们要尽快把给灾区人民送上救援物资。大家马不停蹄的把救援物资一个接一个的运送到飞机上，有效的保证了灾区物资投放的及时性和准确性。</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灾情就是责任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7月27日，</w:t>
      </w:r>
      <w:r>
        <w:rPr>
          <w:rFonts w:hint="eastAsia" w:ascii="仿宋_GB2312" w:hAnsi="仿宋_GB2312" w:cs="仿宋_GB2312"/>
          <w:sz w:val="32"/>
          <w:szCs w:val="32"/>
          <w:lang w:val="en-US" w:eastAsia="zh-CN"/>
        </w:rPr>
        <w:t>我校</w:t>
      </w:r>
      <w:r>
        <w:rPr>
          <w:rFonts w:hint="eastAsia" w:ascii="仿宋_GB2312" w:hAnsi="仿宋_GB2312" w:eastAsia="仿宋_GB2312" w:cs="仿宋_GB2312"/>
          <w:sz w:val="32"/>
          <w:szCs w:val="32"/>
        </w:rPr>
        <w:t>为辉县市高级中学受灾群众安置点捐赠一车被褥。党员同志在灾民安置点参加志愿者服务。再炎热的天气也阻挡不了人与人的热情与默契。同为辉县人，我们都在用心呵护着来自商丘夏邑的那份真诚。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7月20日降雨以来，我校教职工部分家里边儿虽然也不同程度地受到了这一次大雨的侵袭，但许多同志还是就近主动参加救灾的物资搬运志愿活动。特别是我校孟凡献老师家里接待了十几位来自卫辉的受灾群众，用纯朴、平凡的行动诠释了一职人面对灾难团结一心众志成城主动伸出援手帮助同胞的大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洪水泛滥，不过沧海桑田。一方有难，八方支援，齐心协力，众志成城定能汇聚各方力量战胜洪灾，重建家园。用我们辉县人民干得好的精神，相信辉县人、河南人定能一起同舟共济，迈过一个个难关，跨步向前，建设更加富裕、秀美、和谐的家园！</w:t>
      </w:r>
    </w:p>
    <w:p>
      <w:pPr>
        <w:pStyle w:val="2"/>
        <w:bidi w:val="0"/>
        <w:rPr>
          <w:rFonts w:hint="eastAsia"/>
        </w:rPr>
      </w:pPr>
      <w:bookmarkStart w:id="119" w:name="_Toc29095"/>
      <w:bookmarkStart w:id="120" w:name="_Toc24634"/>
      <w:r>
        <w:rPr>
          <w:rFonts w:hint="eastAsia"/>
        </w:rPr>
        <w:t>8.主要问题和改进措施</w:t>
      </w:r>
      <w:bookmarkEnd w:id="119"/>
      <w:bookmarkEnd w:id="120"/>
    </w:p>
    <w:p>
      <w:pPr>
        <w:pStyle w:val="3"/>
        <w:bidi w:val="0"/>
        <w:rPr>
          <w:rFonts w:hint="eastAsia"/>
        </w:rPr>
      </w:pPr>
      <w:bookmarkStart w:id="121" w:name="_Toc5667"/>
      <w:bookmarkStart w:id="122" w:name="_Toc8964"/>
      <w:r>
        <w:rPr>
          <w:rFonts w:hint="eastAsia"/>
        </w:rPr>
        <w:t>8.1主要问题</w:t>
      </w:r>
      <w:bookmarkEnd w:id="121"/>
      <w:bookmarkEnd w:id="122"/>
      <w:bookmarkStart w:id="123" w:name="_Toc229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b w:val="0"/>
          <w:color w:val="auto"/>
          <w:kern w:val="2"/>
          <w:sz w:val="32"/>
          <w:szCs w:val="32"/>
          <w:lang w:val="en-US" w:eastAsia="zh-CN" w:bidi="ar-SA"/>
        </w:rPr>
      </w:pPr>
      <w:r>
        <w:rPr>
          <w:rFonts w:hint="eastAsia" w:ascii="仿宋_GB2312" w:hAnsi="仿宋_GB2312" w:cs="仿宋_GB2312"/>
          <w:b w:val="0"/>
          <w:color w:val="auto"/>
          <w:kern w:val="2"/>
          <w:sz w:val="32"/>
          <w:szCs w:val="32"/>
          <w:lang w:val="en-US" w:eastAsia="zh-CN" w:bidi="ar-SA"/>
        </w:rPr>
        <w:t>一是专任教师数量不足和年龄偏大。在编专任教师现有67人，平均年龄偏大，50周岁占比43.5%，出现了断层危机。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color w:val="auto"/>
          <w:kern w:val="2"/>
          <w:sz w:val="32"/>
          <w:szCs w:val="32"/>
          <w:lang w:val="en-US" w:eastAsia="zh-CN" w:bidi="ar-SA"/>
        </w:rPr>
      </w:pPr>
      <w:r>
        <w:rPr>
          <w:rFonts w:hint="eastAsia" w:ascii="仿宋_GB2312" w:hAnsi="仿宋_GB2312" w:cs="仿宋_GB2312"/>
          <w:b w:val="0"/>
          <w:color w:val="auto"/>
          <w:kern w:val="2"/>
          <w:sz w:val="32"/>
          <w:szCs w:val="32"/>
          <w:lang w:val="en-US" w:eastAsia="zh-CN" w:bidi="ar-SA"/>
        </w:rPr>
        <w:t>二是人才培养方面。“课程思政”“1+X”证书制度有待进一步探索与实践，创新人才培养质量还需要进一步提高。</w:t>
      </w:r>
      <w:bookmarkEnd w:id="123"/>
      <w:bookmarkStart w:id="124" w:name="_Toc7988"/>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cs="仿宋_GB2312"/>
          <w:b w:val="0"/>
          <w:color w:val="auto"/>
          <w:kern w:val="2"/>
          <w:sz w:val="32"/>
          <w:szCs w:val="32"/>
          <w:lang w:val="en-US" w:eastAsia="zh-CN" w:bidi="ar-SA"/>
        </w:rPr>
        <w:t>三是产教融合校企合作方面。创新校企合作体制机制有待建立，校企合作广度深度有待加强。</w:t>
      </w:r>
    </w:p>
    <w:bookmarkEnd w:id="124"/>
    <w:p>
      <w:pPr>
        <w:pStyle w:val="3"/>
        <w:bidi w:val="0"/>
        <w:rPr>
          <w:rFonts w:hint="eastAsia"/>
        </w:rPr>
      </w:pPr>
      <w:bookmarkStart w:id="125" w:name="_Toc8842"/>
      <w:bookmarkStart w:id="126" w:name="_Toc27653"/>
      <w:r>
        <w:rPr>
          <w:rFonts w:hint="eastAsia"/>
        </w:rPr>
        <w:t>8.2改进措施</w:t>
      </w:r>
      <w:bookmarkEnd w:id="125"/>
      <w:bookmarkEnd w:id="126"/>
    </w:p>
    <w:p>
      <w:pPr>
        <w:spacing w:line="560" w:lineRule="exact"/>
        <w:ind w:firstLine="640" w:firstLineChars="200"/>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一是建立科学有序和稳定的教师队伍补充长效机制并注重组织实施。逐年有计划地从高校毕业生中招录教师，尽量补齐每年学校自然减员和调出人数，尤其要优先满足薄弱学科和紧缺学科教学需要。</w:t>
      </w:r>
    </w:p>
    <w:p>
      <w:pPr>
        <w:spacing w:line="560" w:lineRule="exact"/>
        <w:ind w:firstLine="640" w:firstLineChars="200"/>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二是注重发挥思政课程和课程思政的协同效应，形成德育教育合力。要对接新技术、新产业、新职业，筹划实施专业升级改造；要着力开展“1+X”证书制度试点实施，更新专业课教学内容，实施课证融通，服务学生成长和高质量就业。</w:t>
      </w:r>
    </w:p>
    <w:p>
      <w:p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三是持续深化校企合作，大力推进各专业人才培养模式改革；推进各专业特色项目建设。</w:t>
      </w:r>
    </w:p>
    <w:p>
      <w:pPr>
        <w:pStyle w:val="2"/>
        <w:bidi w:val="0"/>
        <w:rPr>
          <w:rFonts w:hint="eastAsia"/>
          <w:lang w:val="en-US" w:eastAsia="zh-CN"/>
        </w:rPr>
      </w:pPr>
      <w:bookmarkStart w:id="127" w:name="_Toc17745"/>
      <w:bookmarkStart w:id="128" w:name="_Toc17048"/>
      <w:r>
        <w:rPr>
          <w:rFonts w:hint="eastAsia"/>
          <w:lang w:val="en-US" w:eastAsia="zh-CN"/>
        </w:rPr>
        <w:t>9.其他</w:t>
      </w:r>
      <w:bookmarkEnd w:id="127"/>
      <w:bookmarkEnd w:id="128"/>
    </w:p>
    <w:p>
      <w:pPr>
        <w:spacing w:line="560" w:lineRule="exact"/>
        <w:ind w:firstLine="640" w:firstLineChars="200"/>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无</w:t>
      </w:r>
    </w:p>
    <w:p>
      <w:pPr>
        <w:spacing w:line="560" w:lineRule="exact"/>
        <w:ind w:firstLine="640" w:firstLineChars="200"/>
        <w:rPr>
          <w:rFonts w:hint="eastAsia" w:ascii="仿宋_GB2312" w:hAnsi="仿宋_GB2312" w:cs="仿宋_GB2312"/>
          <w:color w:val="auto"/>
          <w:sz w:val="32"/>
          <w:szCs w:val="32"/>
        </w:rPr>
      </w:pPr>
    </w:p>
    <w:p>
      <w:pPr>
        <w:spacing w:line="560" w:lineRule="exact"/>
        <w:ind w:firstLine="640" w:firstLineChars="200"/>
        <w:rPr>
          <w:rFonts w:hint="eastAsia" w:ascii="仿宋_GB2312" w:hAnsi="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600" w:rightChars="200" w:firstLine="640" w:firstLineChars="200"/>
        <w:jc w:val="right"/>
        <w:textAlignment w:val="auto"/>
        <w:rPr>
          <w:rFonts w:hint="eastAsia" w:ascii="仿宋_GB2312" w:hAnsi="仿宋_GB2312" w:cs="仿宋_GB2312"/>
          <w:color w:val="auto"/>
          <w:sz w:val="32"/>
          <w:szCs w:val="32"/>
        </w:rPr>
      </w:pPr>
      <w:r>
        <w:rPr>
          <w:rFonts w:hint="eastAsia" w:ascii="仿宋_GB2312" w:hAnsi="仿宋_GB2312" w:cs="仿宋_GB2312"/>
          <w:color w:val="auto"/>
          <w:sz w:val="32"/>
          <w:szCs w:val="32"/>
        </w:rPr>
        <w:t>辉县市第一职业中等专业学校</w:t>
      </w:r>
    </w:p>
    <w:p>
      <w:pPr>
        <w:spacing w:line="560" w:lineRule="exact"/>
        <w:ind w:firstLine="640" w:firstLineChars="200"/>
        <w:rPr>
          <w:rFonts w:hint="eastAsia" w:ascii="仿宋_GB2312" w:hAnsi="仿宋_GB2312" w:cs="仿宋_GB2312"/>
          <w:color w:val="auto"/>
          <w:sz w:val="32"/>
          <w:szCs w:val="32"/>
        </w:rPr>
        <w:sectPr>
          <w:footerReference r:id="rId5" w:type="default"/>
          <w:pgSz w:w="11906" w:h="16838"/>
          <w:pgMar w:top="2098" w:right="1474" w:bottom="1984" w:left="1587" w:header="851" w:footer="1701" w:gutter="0"/>
          <w:pgNumType w:fmt="numberInDash" w:start="1"/>
          <w:cols w:space="720" w:num="1"/>
          <w:docGrid w:type="lines" w:linePitch="411" w:charSpace="0"/>
        </w:sectPr>
      </w:pPr>
      <w:r>
        <w:rPr>
          <w:rFonts w:hint="eastAsia" w:ascii="仿宋_GB2312" w:hAnsi="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auto"/>
          <w:sz w:val="32"/>
          <w:szCs w:val="32"/>
        </w:rPr>
        <w:t>20</w:t>
      </w:r>
      <w:r>
        <w:rPr>
          <w:rFonts w:hint="eastAsia" w:ascii="仿宋_GB2312" w:hAnsi="仿宋_GB2312" w:cs="仿宋_GB2312"/>
          <w:color w:val="auto"/>
          <w:sz w:val="32"/>
          <w:szCs w:val="32"/>
          <w:lang w:val="en-US" w:eastAsia="zh-CN"/>
        </w:rPr>
        <w:t>21</w:t>
      </w:r>
      <w:r>
        <w:rPr>
          <w:rFonts w:hint="eastAsia" w:ascii="仿宋_GB2312" w:hAnsi="仿宋_GB2312" w:cs="仿宋_GB2312"/>
          <w:color w:val="auto"/>
          <w:sz w:val="32"/>
          <w:szCs w:val="32"/>
        </w:rPr>
        <w:t>年</w:t>
      </w:r>
      <w:r>
        <w:rPr>
          <w:rFonts w:hint="eastAsia" w:ascii="仿宋_GB2312" w:hAnsi="仿宋_GB2312" w:cs="仿宋_GB2312"/>
          <w:color w:val="auto"/>
          <w:sz w:val="32"/>
          <w:szCs w:val="32"/>
          <w:lang w:val="en-US" w:eastAsia="zh-CN"/>
        </w:rPr>
        <w:t>11</w:t>
      </w:r>
      <w:r>
        <w:rPr>
          <w:rFonts w:hint="eastAsia" w:ascii="仿宋_GB2312" w:hAnsi="仿宋_GB2312" w:cs="仿宋_GB2312"/>
          <w:color w:val="auto"/>
          <w:sz w:val="32"/>
          <w:szCs w:val="32"/>
        </w:rPr>
        <w:t>月</w:t>
      </w:r>
      <w:r>
        <w:rPr>
          <w:rFonts w:hint="eastAsia" w:ascii="仿宋_GB2312" w:hAnsi="仿宋_GB2312" w:cs="仿宋_GB2312"/>
          <w:color w:val="auto"/>
          <w:sz w:val="32"/>
          <w:szCs w:val="32"/>
          <w:lang w:val="en-US" w:eastAsia="zh-CN"/>
        </w:rPr>
        <w:t>28</w:t>
      </w:r>
      <w:r>
        <w:rPr>
          <w:rFonts w:hint="eastAsia" w:ascii="仿宋_GB2312" w:hAnsi="仿宋_GB2312" w:cs="仿宋_GB2312"/>
          <w:color w:val="auto"/>
          <w:sz w:val="32"/>
          <w:szCs w:val="32"/>
        </w:rPr>
        <w:t>日</w:t>
      </w:r>
    </w:p>
    <w:p>
      <w:pPr>
        <w:shd w:val="clear"/>
        <w:spacing w:beforeLines="0" w:afterLines="0"/>
        <w:jc w:val="center"/>
        <w:rPr>
          <w:rFonts w:hint="default" w:ascii="Times New Roman" w:hAnsi="Times New Roman" w:cs="Times New Roman"/>
          <w:color w:val="000000"/>
          <w:sz w:val="28"/>
          <w:szCs w:val="24"/>
        </w:rPr>
      </w:pPr>
      <w:r>
        <w:rPr>
          <w:rFonts w:hint="eastAsia" w:ascii="黑体" w:hAnsi="黑体" w:eastAsia="黑体" w:cs="黑体"/>
          <w:color w:val="000000"/>
          <w:sz w:val="28"/>
          <w:szCs w:val="28"/>
        </w:rPr>
        <w:t>表1  中等职业教育质量数据表</w:t>
      </w:r>
    </w:p>
    <w:tbl>
      <w:tblPr>
        <w:tblStyle w:val="11"/>
        <w:tblW w:w="89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3"/>
        <w:gridCol w:w="4696"/>
        <w:gridCol w:w="1056"/>
        <w:gridCol w:w="1219"/>
        <w:gridCol w:w="1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adjustRightInd w:val="0"/>
              <w:snapToGrid w:val="0"/>
              <w:spacing w:beforeLines="0" w:afterLines="0"/>
              <w:jc w:val="center"/>
              <w:textAlignment w:val="center"/>
              <w:rPr>
                <w:rFonts w:hint="eastAsia" w:ascii="黑体" w:hAnsi="黑体" w:eastAsia="黑体" w:cs="Times New Roman"/>
                <w:color w:val="000000"/>
                <w:sz w:val="24"/>
                <w:szCs w:val="24"/>
              </w:rPr>
            </w:pPr>
            <w:r>
              <w:rPr>
                <w:rFonts w:hint="eastAsia" w:ascii="黑体" w:hAnsi="黑体" w:eastAsia="黑体" w:cs="Times New Roman"/>
                <w:color w:val="000000"/>
                <w:kern w:val="0"/>
                <w:sz w:val="24"/>
                <w:szCs w:val="24"/>
                <w:lang w:bidi="ar"/>
              </w:rPr>
              <w:t>序号</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adjustRightInd w:val="0"/>
              <w:snapToGrid w:val="0"/>
              <w:spacing w:beforeLines="0" w:afterLines="0"/>
              <w:jc w:val="center"/>
              <w:textAlignment w:val="center"/>
              <w:rPr>
                <w:rFonts w:hint="eastAsia" w:ascii="黑体" w:hAnsi="黑体" w:eastAsia="黑体" w:cs="Times New Roman"/>
                <w:color w:val="000000"/>
                <w:sz w:val="24"/>
                <w:szCs w:val="24"/>
              </w:rPr>
            </w:pPr>
            <w:r>
              <w:rPr>
                <w:rFonts w:hint="eastAsia" w:ascii="黑体" w:hAnsi="黑体" w:eastAsia="黑体" w:cs="Times New Roman"/>
                <w:color w:val="000000"/>
                <w:kern w:val="0"/>
                <w:sz w:val="24"/>
                <w:szCs w:val="24"/>
                <w:lang w:bidi="ar"/>
              </w:rPr>
              <w:t>指标</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adjustRightInd w:val="0"/>
              <w:snapToGrid w:val="0"/>
              <w:spacing w:beforeLines="0" w:afterLines="0"/>
              <w:jc w:val="center"/>
              <w:textAlignment w:val="center"/>
              <w:rPr>
                <w:rFonts w:hint="eastAsia" w:ascii="黑体" w:hAnsi="黑体" w:eastAsia="黑体" w:cs="Times New Roman"/>
                <w:color w:val="000000"/>
                <w:sz w:val="24"/>
                <w:szCs w:val="24"/>
              </w:rPr>
            </w:pPr>
            <w:r>
              <w:rPr>
                <w:rFonts w:hint="eastAsia" w:ascii="黑体" w:hAnsi="黑体" w:eastAsia="黑体" w:cs="Times New Roman"/>
                <w:color w:val="000000"/>
                <w:kern w:val="0"/>
                <w:sz w:val="24"/>
                <w:szCs w:val="24"/>
                <w:lang w:bidi="ar"/>
              </w:rPr>
              <w:t>单位</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adjustRightInd w:val="0"/>
              <w:snapToGrid w:val="0"/>
              <w:spacing w:beforeLines="0" w:afterLines="0"/>
              <w:jc w:val="center"/>
              <w:textAlignment w:val="center"/>
              <w:rPr>
                <w:rFonts w:hint="eastAsia" w:ascii="黑体" w:hAnsi="黑体" w:eastAsia="黑体" w:cs="Times New Roman"/>
                <w:color w:val="000000"/>
                <w:sz w:val="24"/>
                <w:szCs w:val="24"/>
              </w:rPr>
            </w:pPr>
            <w:r>
              <w:rPr>
                <w:rFonts w:hint="eastAsia" w:ascii="黑体" w:hAnsi="黑体" w:eastAsia="黑体" w:cs="Times New Roman"/>
                <w:color w:val="000000"/>
                <w:kern w:val="0"/>
                <w:sz w:val="24"/>
                <w:szCs w:val="24"/>
                <w:lang w:bidi="ar"/>
              </w:rPr>
              <w:t>2020年</w:t>
            </w: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adjustRightInd w:val="0"/>
              <w:snapToGrid w:val="0"/>
              <w:spacing w:beforeLines="0" w:afterLines="0"/>
              <w:jc w:val="center"/>
              <w:textAlignment w:val="center"/>
              <w:rPr>
                <w:rFonts w:hint="eastAsia" w:ascii="黑体" w:hAnsi="黑体" w:eastAsia="黑体" w:cs="Times New Roman"/>
                <w:color w:val="000000"/>
                <w:sz w:val="24"/>
                <w:szCs w:val="24"/>
              </w:rPr>
            </w:pPr>
            <w:r>
              <w:rPr>
                <w:rFonts w:hint="eastAsia" w:ascii="黑体" w:hAnsi="黑体" w:eastAsia="黑体" w:cs="Times New Roman"/>
                <w:color w:val="000000"/>
                <w:kern w:val="0"/>
                <w:sz w:val="24"/>
                <w:szCs w:val="24"/>
                <w:lang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1</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思想政治课专任教师数</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人</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cs="Times New Roman"/>
                <w:color w:val="000000"/>
                <w:sz w:val="24"/>
                <w:szCs w:val="24"/>
                <w:lang w:val="en-US" w:eastAsia="zh-CN"/>
              </w:rPr>
              <w:t>4</w:t>
            </w: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cs="Times New Roman"/>
                <w:color w:val="000000"/>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2</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德育管理人员数</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人</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default" w:ascii="仿宋_GB2312" w:hAnsi="Times New Roman" w:eastAsia="仿宋_GB2312" w:cs="Times New Roman"/>
                <w:color w:val="000000"/>
                <w:kern w:val="2"/>
                <w:sz w:val="24"/>
                <w:szCs w:val="24"/>
                <w:lang w:val="en-US" w:eastAsia="zh-CN" w:bidi="ar-SA"/>
              </w:rPr>
            </w:pPr>
            <w:r>
              <w:rPr>
                <w:rFonts w:hint="eastAsia" w:ascii="仿宋_GB2312" w:hAnsi="Times New Roman" w:cs="Times New Roman"/>
                <w:color w:val="000000"/>
                <w:sz w:val="24"/>
                <w:szCs w:val="24"/>
                <w:lang w:val="en-US" w:eastAsia="zh-CN"/>
              </w:rPr>
              <w:t>22</w:t>
            </w: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default" w:ascii="仿宋_GB2312" w:hAnsi="Times New Roman" w:eastAsia="仿宋_GB2312" w:cs="Times New Roman"/>
                <w:color w:val="000000"/>
                <w:kern w:val="2"/>
                <w:sz w:val="24"/>
                <w:szCs w:val="24"/>
                <w:lang w:val="en-US" w:eastAsia="zh-CN" w:bidi="ar-SA"/>
              </w:rPr>
            </w:pPr>
            <w:r>
              <w:rPr>
                <w:rFonts w:hint="eastAsia" w:ascii="仿宋_GB2312" w:hAnsi="Times New Roman" w:cs="Times New Roman"/>
                <w:color w:val="000000"/>
                <w:sz w:val="24"/>
                <w:szCs w:val="24"/>
                <w:lang w:val="en-US" w:eastAsia="zh-CN"/>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3</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名班主任工作室数</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个</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cs="Times New Roman"/>
                <w:color w:val="000000"/>
                <w:sz w:val="24"/>
                <w:szCs w:val="24"/>
              </w:rPr>
            </w:pP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 xml:space="preserve">    其中：国家级</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个</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cs="Times New Roman"/>
                <w:color w:val="000000"/>
                <w:sz w:val="24"/>
                <w:szCs w:val="24"/>
              </w:rPr>
            </w:pP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 xml:space="preserve">          省级</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个</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cs="Times New Roman"/>
                <w:color w:val="000000"/>
                <w:sz w:val="24"/>
                <w:szCs w:val="24"/>
              </w:rPr>
            </w:pP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 xml:space="preserve">          地市级</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个</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4</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思想政治课教学创新团队数</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个</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cs="Times New Roman"/>
                <w:color w:val="000000"/>
                <w:sz w:val="24"/>
                <w:szCs w:val="24"/>
              </w:rPr>
            </w:pP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 xml:space="preserve">    其中：国家级</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个</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cs="Times New Roman"/>
                <w:color w:val="000000"/>
                <w:sz w:val="24"/>
                <w:szCs w:val="24"/>
              </w:rPr>
            </w:pP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 xml:space="preserve">          省级</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个</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cs="Times New Roman"/>
                <w:color w:val="000000"/>
                <w:sz w:val="24"/>
                <w:szCs w:val="24"/>
              </w:rPr>
            </w:pP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 xml:space="preserve">          地市级</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个</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5</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思想政治课示范课堂数</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个</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cs="Times New Roman"/>
                <w:color w:val="000000"/>
                <w:sz w:val="24"/>
                <w:szCs w:val="24"/>
              </w:rPr>
            </w:pP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ind w:firstLine="480" w:firstLineChars="20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其中：国家级</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个</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cs="Times New Roman"/>
                <w:color w:val="000000"/>
                <w:sz w:val="24"/>
                <w:szCs w:val="24"/>
              </w:rPr>
            </w:pP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 xml:space="preserve">          省级</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个</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6</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就业单位对毕业生职业素养的满意度</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default" w:ascii="仿宋_GB2312" w:hAnsi="Times New Roman" w:eastAsia="仿宋_GB2312" w:cs="Times New Roman"/>
                <w:color w:val="000000"/>
                <w:kern w:val="2"/>
                <w:sz w:val="24"/>
                <w:szCs w:val="24"/>
                <w:lang w:val="en-US" w:eastAsia="zh-CN" w:bidi="ar-SA"/>
              </w:rPr>
            </w:pPr>
            <w:r>
              <w:rPr>
                <w:rFonts w:hint="eastAsia" w:ascii="仿宋_GB2312" w:hAnsi="Times New Roman" w:cs="Times New Roman"/>
                <w:color w:val="000000"/>
                <w:sz w:val="24"/>
                <w:szCs w:val="24"/>
                <w:lang w:val="en-US" w:eastAsia="zh-CN"/>
              </w:rPr>
              <w:t>94</w:t>
            </w: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auto"/>
                <w:kern w:val="2"/>
                <w:sz w:val="24"/>
                <w:szCs w:val="24"/>
                <w:highlight w:val="none"/>
                <w:lang w:val="en-US" w:eastAsia="zh-CN" w:bidi="ar-SA"/>
              </w:rPr>
            </w:pPr>
            <w:r>
              <w:rPr>
                <w:rFonts w:hint="default" w:ascii="仿宋_GB2312" w:hAnsi="Times New Roman" w:cs="Times New Roman"/>
                <w:color w:val="auto"/>
                <w:sz w:val="24"/>
                <w:szCs w:val="24"/>
                <w:highlight w:val="none"/>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7</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就业单位对毕业生职业技能的满意度</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default" w:ascii="仿宋_GB2312" w:hAnsi="Times New Roman" w:eastAsia="仿宋_GB2312" w:cs="Times New Roman"/>
                <w:color w:val="000000"/>
                <w:kern w:val="2"/>
                <w:sz w:val="24"/>
                <w:szCs w:val="24"/>
                <w:lang w:val="en-US" w:eastAsia="zh-CN" w:bidi="ar-SA"/>
              </w:rPr>
            </w:pPr>
            <w:r>
              <w:rPr>
                <w:rFonts w:hint="eastAsia" w:ascii="仿宋_GB2312" w:hAnsi="Times New Roman" w:cs="Times New Roman"/>
                <w:color w:val="000000"/>
                <w:sz w:val="24"/>
                <w:szCs w:val="24"/>
                <w:lang w:val="en-US" w:eastAsia="zh-CN"/>
              </w:rPr>
              <w:t>94</w:t>
            </w: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auto"/>
                <w:kern w:val="2"/>
                <w:sz w:val="24"/>
                <w:szCs w:val="24"/>
                <w:highlight w:val="none"/>
                <w:lang w:val="en-US" w:eastAsia="zh-CN" w:bidi="ar-SA"/>
              </w:rPr>
            </w:pPr>
            <w:r>
              <w:rPr>
                <w:rFonts w:hint="default" w:ascii="仿宋_GB2312" w:hAnsi="Times New Roman" w:cs="Times New Roman"/>
                <w:color w:val="auto"/>
                <w:sz w:val="24"/>
                <w:szCs w:val="24"/>
                <w:highlight w:val="none"/>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8</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体育课专任教师数</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人</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cs="Times New Roman"/>
                <w:color w:val="000000"/>
                <w:sz w:val="24"/>
                <w:szCs w:val="24"/>
                <w:lang w:val="en-US" w:eastAsia="zh-CN"/>
              </w:rPr>
              <w:t>6</w:t>
            </w: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cs="Times New Roman"/>
                <w:color w:val="000000"/>
                <w:sz w:val="24"/>
                <w:szCs w:val="24"/>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9</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美育课专任教师数</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人</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cs="Times New Roman"/>
                <w:color w:val="000000"/>
                <w:sz w:val="24"/>
                <w:szCs w:val="24"/>
                <w:lang w:val="en-US" w:eastAsia="zh-CN"/>
              </w:rPr>
              <w:t>1</w:t>
            </w: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cs="Times New Roman"/>
                <w:color w:val="000000"/>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10</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学生文化基础课合格率</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default" w:ascii="仿宋_GB2312" w:hAnsi="Times New Roman" w:eastAsia="仿宋_GB2312" w:cs="Times New Roman"/>
                <w:color w:val="000000"/>
                <w:kern w:val="2"/>
                <w:sz w:val="24"/>
                <w:szCs w:val="24"/>
                <w:lang w:val="en-US" w:eastAsia="zh-CN" w:bidi="ar-SA"/>
              </w:rPr>
            </w:pPr>
            <w:r>
              <w:rPr>
                <w:rFonts w:hint="eastAsia" w:ascii="仿宋_GB2312" w:hAnsi="Times New Roman" w:cs="Times New Roman"/>
                <w:color w:val="000000"/>
                <w:sz w:val="24"/>
                <w:szCs w:val="24"/>
                <w:lang w:val="en-US" w:eastAsia="zh-CN"/>
              </w:rPr>
              <w:t>97</w:t>
            </w: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default" w:ascii="仿宋_GB2312" w:hAnsi="Times New Roman" w:cs="Times New Roman"/>
                <w:color w:val="000000"/>
                <w:sz w:val="24"/>
                <w:szCs w:val="24"/>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11</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学生体质测评合格率</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default" w:ascii="仿宋_GB2312" w:hAnsi="Times New Roman" w:eastAsia="仿宋_GB2312" w:cs="Times New Roman"/>
                <w:color w:val="000000"/>
                <w:kern w:val="2"/>
                <w:sz w:val="24"/>
                <w:szCs w:val="24"/>
                <w:lang w:val="en-US" w:eastAsia="zh-CN" w:bidi="ar-SA"/>
              </w:rPr>
            </w:pPr>
            <w:r>
              <w:rPr>
                <w:rFonts w:hint="eastAsia" w:ascii="仿宋_GB2312" w:hAnsi="Times New Roman" w:cs="Times New Roman"/>
                <w:color w:val="000000"/>
                <w:sz w:val="24"/>
                <w:szCs w:val="24"/>
                <w:lang w:val="en-US" w:eastAsia="zh-CN"/>
              </w:rPr>
              <w:t>99.6</w:t>
            </w: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default" w:ascii="仿宋_GB2312" w:hAnsi="Times New Roman" w:eastAsia="仿宋_GB2312" w:cs="Times New Roman"/>
                <w:color w:val="000000"/>
                <w:kern w:val="2"/>
                <w:sz w:val="24"/>
                <w:szCs w:val="24"/>
                <w:lang w:val="en-US" w:eastAsia="zh-CN" w:bidi="ar-SA"/>
              </w:rPr>
            </w:pPr>
            <w:r>
              <w:rPr>
                <w:rFonts w:hint="eastAsia" w:ascii="仿宋_GB2312" w:hAnsi="Times New Roman" w:cs="Times New Roman"/>
                <w:color w:val="000000"/>
                <w:sz w:val="24"/>
                <w:szCs w:val="24"/>
                <w:lang w:val="en-US" w:eastAsia="zh-CN"/>
              </w:rPr>
              <w:t>98.02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12</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毕业生总数</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人</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default" w:ascii="仿宋_GB2312" w:hAnsi="Times New Roman" w:eastAsia="仿宋_GB2312" w:cs="Times New Roman"/>
                <w:color w:val="000000"/>
                <w:kern w:val="2"/>
                <w:sz w:val="24"/>
                <w:szCs w:val="24"/>
                <w:lang w:val="en-US" w:eastAsia="zh-CN" w:bidi="ar-SA"/>
              </w:rPr>
            </w:pPr>
            <w:r>
              <w:rPr>
                <w:rFonts w:hint="eastAsia" w:ascii="仿宋_GB2312" w:hAnsi="Times New Roman" w:cs="Times New Roman"/>
                <w:color w:val="000000"/>
                <w:sz w:val="24"/>
                <w:szCs w:val="24"/>
                <w:lang w:val="en-US" w:eastAsia="zh-CN"/>
              </w:rPr>
              <w:t>274</w:t>
            </w: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default" w:ascii="仿宋_GB2312" w:hAnsi="Times New Roman" w:cs="Times New Roman"/>
                <w:color w:val="000000"/>
                <w:sz w:val="24"/>
                <w:szCs w:val="24"/>
                <w:lang w:val="en-US" w:eastAsia="zh-CN"/>
              </w:rPr>
              <w:t>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13</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就业（含升学）人数</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人</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default" w:ascii="仿宋_GB2312" w:hAnsi="Times New Roman" w:eastAsia="仿宋_GB2312" w:cs="Times New Roman"/>
                <w:color w:val="000000"/>
                <w:kern w:val="2"/>
                <w:sz w:val="24"/>
                <w:szCs w:val="24"/>
                <w:lang w:val="en-US" w:eastAsia="zh-CN" w:bidi="ar-SA"/>
              </w:rPr>
            </w:pPr>
            <w:r>
              <w:rPr>
                <w:rFonts w:hint="eastAsia" w:ascii="仿宋_GB2312" w:hAnsi="Times New Roman" w:cs="Times New Roman"/>
                <w:color w:val="000000"/>
                <w:sz w:val="24"/>
                <w:szCs w:val="24"/>
                <w:lang w:val="en-US" w:eastAsia="zh-CN"/>
              </w:rPr>
              <w:t>274</w:t>
            </w: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default" w:ascii="仿宋_GB2312" w:hAnsi="Times New Roman" w:cs="Times New Roman"/>
                <w:color w:val="000000"/>
                <w:sz w:val="24"/>
                <w:szCs w:val="24"/>
              </w:rPr>
              <w:t>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14</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在规模以上企业就业人数</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人</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default" w:ascii="仿宋_GB2312" w:hAnsi="Times New Roman" w:cs="Times New Roman"/>
                <w:color w:val="000000"/>
                <w:sz w:val="24"/>
                <w:szCs w:val="24"/>
              </w:rPr>
              <w:t>22</w:t>
            </w: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default" w:ascii="仿宋_GB2312" w:hAnsi="Times New Roman" w:cs="Times New Roman"/>
                <w:color w:val="000000"/>
                <w:sz w:val="24"/>
                <w:szCs w:val="24"/>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15</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在中小微企业就业人数</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人</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default" w:ascii="仿宋_GB2312" w:hAnsi="Times New Roman" w:cs="Times New Roman"/>
                <w:color w:val="000000"/>
                <w:sz w:val="24"/>
                <w:szCs w:val="24"/>
              </w:rPr>
              <w:t>55</w:t>
            </w: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default" w:ascii="仿宋_GB2312" w:hAnsi="Times New Roman" w:cs="Times New Roman"/>
                <w:color w:val="000000"/>
                <w:sz w:val="24"/>
                <w:szCs w:val="24"/>
              </w:rPr>
              <w:t>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16</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毕业生专业对口就业率</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default" w:ascii="仿宋_GB2312" w:hAnsi="Times New Roman" w:cs="Times New Roman"/>
                <w:color w:val="000000"/>
                <w:sz w:val="24"/>
                <w:szCs w:val="24"/>
                <w:lang w:val="en-US" w:eastAsia="zh-CN"/>
              </w:rPr>
            </w:pPr>
            <w:r>
              <w:rPr>
                <w:rFonts w:hint="default" w:ascii="仿宋_GB2312" w:hAnsi="Times New Roman" w:cs="Times New Roman"/>
                <w:color w:val="000000"/>
                <w:sz w:val="24"/>
                <w:szCs w:val="24"/>
                <w:lang w:eastAsia="zh-CN"/>
              </w:rPr>
              <w:t>86.7</w:t>
            </w: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cs="Times New Roman"/>
                <w:color w:val="000000"/>
                <w:sz w:val="24"/>
                <w:szCs w:val="24"/>
                <w:lang w:val="en-US" w:eastAsia="zh-CN"/>
              </w:rPr>
            </w:pPr>
            <w:r>
              <w:rPr>
                <w:rFonts w:hint="default" w:ascii="仿宋_GB2312" w:hAnsi="Times New Roman" w:cs="Times New Roman"/>
                <w:color w:val="000000"/>
                <w:sz w:val="24"/>
                <w:szCs w:val="24"/>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17</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通过职教高考升学人数</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人</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cs="Times New Roman"/>
                <w:color w:val="000000"/>
                <w:sz w:val="24"/>
                <w:szCs w:val="24"/>
                <w:lang w:val="en-US" w:eastAsia="zh-CN"/>
              </w:rPr>
            </w:pP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cs="Times New Roman"/>
                <w:color w:val="00000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18</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通过对口单独招生升学人数</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人</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default" w:ascii="仿宋_GB2312" w:hAnsi="Times New Roman" w:cs="Times New Roman"/>
                <w:color w:val="000000"/>
                <w:sz w:val="24"/>
                <w:szCs w:val="24"/>
              </w:rPr>
              <w:t>65</w:t>
            </w: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default" w:ascii="仿宋_GB2312" w:hAnsi="Times New Roman" w:cs="Times New Roman"/>
                <w:color w:val="000000"/>
                <w:sz w:val="24"/>
                <w:szCs w:val="24"/>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19</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通过中本贯通升学人数</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人</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20</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通过中高贯通升学人数</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人</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21</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通过技能拔尖人才免试升学人数</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人</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cs="Times New Roman"/>
                <w:color w:val="000000"/>
                <w:sz w:val="24"/>
                <w:szCs w:val="24"/>
                <w:lang w:val="en-US" w:eastAsia="zh-CN"/>
              </w:rPr>
              <w:t>2</w:t>
            </w: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default" w:ascii="仿宋_GB2312" w:hAnsi="Times New Roman" w:cs="Times New Roman"/>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23</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升入本科院校人数</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人</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default" w:ascii="仿宋_GB2312" w:hAnsi="Times New Roman" w:cs="Times New Roman"/>
                <w:color w:val="000000"/>
                <w:sz w:val="24"/>
                <w:szCs w:val="24"/>
              </w:rPr>
              <w:t>38</w:t>
            </w: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default" w:ascii="仿宋_GB2312" w:hAnsi="Times New Roman" w:cs="Times New Roman"/>
                <w:color w:val="000000"/>
                <w:sz w:val="24"/>
                <w:szCs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24</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升入高职高专院校人数</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人</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default" w:ascii="仿宋_GB2312" w:hAnsi="Times New Roman" w:cs="Times New Roman"/>
                <w:color w:val="000000"/>
                <w:sz w:val="24"/>
                <w:szCs w:val="24"/>
              </w:rPr>
              <w:t>152</w:t>
            </w: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default" w:ascii="仿宋_GB2312" w:hAnsi="Times New Roman" w:cs="Times New Roman"/>
                <w:color w:val="000000"/>
                <w:sz w:val="24"/>
                <w:szCs w:val="24"/>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25</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adjustRightInd w:val="0"/>
              <w:snapToGrid w:val="0"/>
              <w:spacing w:beforeLines="0" w:afterLines="0"/>
              <w:jc w:val="left"/>
              <w:textAlignment w:val="center"/>
              <w:rPr>
                <w:rFonts w:hint="eastAsia" w:ascii="仿宋_GB2312" w:hAnsi="Times New Roman" w:cs="Times New Roman"/>
                <w:color w:val="000000"/>
                <w:spacing w:val="-6"/>
                <w:sz w:val="24"/>
                <w:szCs w:val="24"/>
              </w:rPr>
            </w:pPr>
            <w:r>
              <w:rPr>
                <w:rFonts w:hint="eastAsia" w:ascii="仿宋_GB2312" w:hAnsi="Times New Roman" w:cs="Times New Roman"/>
                <w:color w:val="000000"/>
                <w:spacing w:val="-6"/>
                <w:kern w:val="0"/>
                <w:sz w:val="24"/>
                <w:szCs w:val="24"/>
                <w:lang w:bidi="ar"/>
              </w:rPr>
              <w:t>其他升学人数（含留学、成人教育、自学考试）</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人</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26</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全国职业院校技能大赛学生获奖数</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个</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kern w:val="0"/>
                <w:sz w:val="24"/>
                <w:szCs w:val="24"/>
                <w:lang w:bidi="ar"/>
              </w:rPr>
            </w:pPr>
            <w:r>
              <w:rPr>
                <w:rFonts w:hint="eastAsia" w:ascii="仿宋_GB2312" w:hAnsi="Times New Roman" w:cs="Times New Roman"/>
                <w:color w:val="000000"/>
                <w:kern w:val="0"/>
                <w:sz w:val="24"/>
                <w:szCs w:val="24"/>
                <w:lang w:bidi="ar"/>
              </w:rPr>
              <w:t>27</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kern w:val="0"/>
                <w:sz w:val="24"/>
                <w:szCs w:val="24"/>
                <w:lang w:bidi="ar"/>
              </w:rPr>
            </w:pPr>
            <w:r>
              <w:rPr>
                <w:rFonts w:hint="eastAsia" w:ascii="仿宋_GB2312" w:hAnsi="Times New Roman" w:cs="Times New Roman"/>
                <w:color w:val="000000"/>
                <w:kern w:val="0"/>
                <w:sz w:val="24"/>
                <w:szCs w:val="24"/>
                <w:lang w:bidi="ar"/>
              </w:rPr>
              <w:t>全国职业技能大赛学生获奖数</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kern w:val="0"/>
                <w:sz w:val="24"/>
                <w:szCs w:val="24"/>
                <w:lang w:bidi="ar"/>
              </w:rPr>
            </w:pPr>
            <w:r>
              <w:rPr>
                <w:rFonts w:hint="eastAsia" w:ascii="仿宋_GB2312" w:hAnsi="Times New Roman" w:cs="Times New Roman"/>
                <w:color w:val="000000"/>
                <w:kern w:val="0"/>
                <w:sz w:val="24"/>
                <w:szCs w:val="24"/>
                <w:lang w:bidi="ar"/>
              </w:rPr>
              <w:t>个</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cs="Times New Roman"/>
                <w:color w:val="00000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28</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adjustRightInd w:val="0"/>
              <w:snapToGrid w:val="0"/>
              <w:spacing w:beforeLines="0" w:afterLines="0"/>
              <w:jc w:val="left"/>
              <w:textAlignment w:val="center"/>
              <w:rPr>
                <w:rFonts w:hint="eastAsia" w:ascii="仿宋_GB2312" w:hAnsi="Times New Roman" w:cs="Times New Roman"/>
                <w:color w:val="000000"/>
                <w:spacing w:val="-12"/>
                <w:sz w:val="24"/>
                <w:szCs w:val="24"/>
              </w:rPr>
            </w:pPr>
            <w:r>
              <w:rPr>
                <w:rFonts w:hint="eastAsia" w:ascii="仿宋_GB2312" w:hAnsi="Times New Roman" w:cs="Times New Roman"/>
                <w:color w:val="000000"/>
                <w:spacing w:val="-12"/>
                <w:kern w:val="0"/>
                <w:sz w:val="24"/>
                <w:szCs w:val="24"/>
                <w:lang w:bidi="ar"/>
              </w:rPr>
              <w:t>职业技能等级证书（含职业资格证书）获取人数</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人</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cs="Times New Roman"/>
                <w:color w:val="000000"/>
                <w:sz w:val="24"/>
                <w:szCs w:val="24"/>
                <w:lang w:val="en-US" w:eastAsia="zh-CN"/>
              </w:rPr>
              <w:t>6</w:t>
            </w: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cs="Times New Roman"/>
                <w:color w:val="00000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29</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全日制在校生数</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人</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cs="Times New Roman"/>
                <w:color w:val="000000"/>
                <w:sz w:val="24"/>
                <w:szCs w:val="24"/>
                <w:lang w:val="en-US" w:eastAsia="zh-CN"/>
              </w:rPr>
              <w:t>1620</w:t>
            </w: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default" w:ascii="仿宋_GB2312" w:hAnsi="Times New Roman" w:cs="Times New Roman"/>
                <w:color w:val="000000"/>
                <w:sz w:val="24"/>
                <w:szCs w:val="24"/>
              </w:rPr>
              <w:t>1460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30</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生均校园占地面积</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平方米</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cs="Times New Roman"/>
                <w:color w:val="000000"/>
                <w:sz w:val="24"/>
                <w:szCs w:val="24"/>
                <w:lang w:val="en-US" w:eastAsia="zh-CN"/>
              </w:rPr>
              <w:t>385.07</w:t>
            </w: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default" w:ascii="仿宋_GB2312" w:hAnsi="Times New Roman" w:cs="Times New Roman"/>
                <w:color w:val="000000"/>
                <w:sz w:val="24"/>
                <w:szCs w:val="24"/>
              </w:rPr>
              <w:t>427.27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31</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生均校舍建筑面积</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平方米</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cs="Times New Roman"/>
                <w:color w:val="000000"/>
                <w:sz w:val="24"/>
                <w:szCs w:val="24"/>
                <w:lang w:val="en-US" w:eastAsia="zh-CN"/>
              </w:rPr>
              <w:t>25.20</w:t>
            </w: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default" w:ascii="仿宋_GB2312" w:hAnsi="Times New Roman" w:cs="Times New Roman"/>
                <w:color w:val="000000"/>
                <w:sz w:val="24"/>
                <w:szCs w:val="24"/>
              </w:rPr>
              <w:t>27.96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32</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生均教学仪器设备值</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元</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cs="Times New Roman"/>
                <w:color w:val="000000"/>
                <w:sz w:val="24"/>
                <w:szCs w:val="24"/>
                <w:lang w:val="en-US" w:eastAsia="zh-CN"/>
              </w:rPr>
              <w:t>2438.3</w:t>
            </w: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default" w:ascii="仿宋_GB2312" w:hAnsi="Times New Roman" w:cs="Times New Roman"/>
                <w:color w:val="000000"/>
                <w:sz w:val="24"/>
                <w:szCs w:val="24"/>
              </w:rPr>
              <w:t>3335.62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33</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年生均财政拨款</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元</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default" w:ascii="仿宋_GB2312" w:hAnsi="Times New Roman" w:cs="Times New Roman"/>
                <w:color w:val="000000"/>
                <w:sz w:val="24"/>
                <w:szCs w:val="24"/>
              </w:rPr>
              <w:t>816</w:t>
            </w: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default" w:ascii="仿宋_GB2312" w:hAnsi="Times New Roman" w:cs="Times New Roman"/>
                <w:color w:val="000000"/>
                <w:sz w:val="24"/>
                <w:szCs w:val="24"/>
              </w:rPr>
              <w:t>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34</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纸质图书数</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册</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cs="Times New Roman"/>
                <w:color w:val="000000"/>
                <w:sz w:val="24"/>
                <w:szCs w:val="24"/>
                <w:lang w:val="en-US" w:eastAsia="zh-CN"/>
              </w:rPr>
              <w:t>38000</w:t>
            </w: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default" w:ascii="仿宋_GB2312" w:hAnsi="Times New Roman" w:cs="Times New Roman"/>
                <w:color w:val="000000"/>
                <w:sz w:val="24"/>
                <w:szCs w:val="24"/>
              </w:rPr>
              <w:t>38000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35</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电子图书数</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册</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cs="Times New Roman"/>
                <w:color w:val="000000"/>
                <w:sz w:val="24"/>
                <w:szCs w:val="24"/>
                <w:lang w:val="en-US" w:eastAsia="zh-CN"/>
              </w:rPr>
              <w:t>80000</w:t>
            </w: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default" w:ascii="仿宋_GB2312" w:hAnsi="Times New Roman" w:cs="Times New Roman"/>
                <w:color w:val="000000"/>
                <w:sz w:val="24"/>
                <w:szCs w:val="24"/>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36</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 xml:space="preserve">校园网主干最大带宽 </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Mbps</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cs="Times New Roman"/>
                <w:color w:val="000000"/>
                <w:sz w:val="24"/>
                <w:szCs w:val="24"/>
                <w:lang w:val="en-US" w:eastAsia="zh-CN"/>
              </w:rPr>
              <w:t>500</w:t>
            </w: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cs="Times New Roman"/>
                <w:color w:val="000000"/>
                <w:sz w:val="24"/>
                <w:szCs w:val="24"/>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37</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教职员工额定编制数</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人</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cs="Times New Roman"/>
                <w:color w:val="000000"/>
                <w:sz w:val="24"/>
                <w:szCs w:val="24"/>
                <w:lang w:val="en-US" w:eastAsia="zh-CN"/>
              </w:rPr>
              <w:t>90</w:t>
            </w: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cs="Times New Roman"/>
                <w:color w:val="000000"/>
                <w:sz w:val="24"/>
                <w:szCs w:val="24"/>
                <w:lang w:val="en-US" w:eastAsia="zh-CN"/>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38</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教职员工总数</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人</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cs="Times New Roman"/>
                <w:color w:val="000000"/>
                <w:sz w:val="24"/>
                <w:szCs w:val="24"/>
                <w:lang w:val="en-US" w:eastAsia="zh-CN"/>
              </w:rPr>
              <w:t>99</w:t>
            </w: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cs="Times New Roman"/>
                <w:color w:val="000000"/>
                <w:sz w:val="24"/>
                <w:szCs w:val="24"/>
                <w:lang w:val="en-US" w:eastAsia="zh-CN"/>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39</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 xml:space="preserve">    其中：专任教师总数</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人</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cs="Times New Roman"/>
                <w:color w:val="000000"/>
                <w:sz w:val="24"/>
                <w:szCs w:val="24"/>
                <w:lang w:val="en-US" w:eastAsia="zh-CN"/>
              </w:rPr>
              <w:t>93</w:t>
            </w: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cs="Times New Roman"/>
                <w:color w:val="000000"/>
                <w:sz w:val="24"/>
                <w:szCs w:val="24"/>
                <w:lang w:val="en-US" w:eastAsia="zh-CN"/>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40</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生师比</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cs="Times New Roman"/>
                <w:color w:val="000000"/>
                <w:sz w:val="24"/>
                <w:szCs w:val="24"/>
                <w:lang w:val="en-US" w:eastAsia="zh-CN"/>
              </w:rPr>
              <w:t>17.42</w:t>
            </w: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cs="Times New Roman"/>
                <w:color w:val="000000"/>
                <w:sz w:val="24"/>
                <w:szCs w:val="24"/>
                <w:lang w:val="en-US" w:eastAsia="zh-CN"/>
              </w:rPr>
              <w:t>18.72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41</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“双师”素质专任专业教师总数</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人</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cs="Times New Roman"/>
                <w:color w:val="000000"/>
                <w:sz w:val="24"/>
                <w:szCs w:val="24"/>
                <w:lang w:val="en-US" w:eastAsia="zh-CN"/>
              </w:rPr>
              <w:t>36</w:t>
            </w: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cs="Times New Roman"/>
                <w:color w:val="000000"/>
                <w:sz w:val="24"/>
                <w:szCs w:val="24"/>
                <w:lang w:val="en-US" w:eastAsia="zh-CN"/>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42</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合作企业教师实践基地数</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个</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cs="Times New Roman"/>
                <w:color w:val="000000"/>
                <w:sz w:val="24"/>
                <w:szCs w:val="24"/>
                <w:lang w:val="en-US" w:eastAsia="zh-CN"/>
              </w:rPr>
              <w:t>11</w:t>
            </w: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default" w:ascii="仿宋_GB2312" w:hAnsi="Times New Roman" w:cs="Times New Roman"/>
                <w:color w:val="000000"/>
                <w:sz w:val="24"/>
                <w:szCs w:val="24"/>
                <w:lang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43</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高级专业技术职务专任教师占比</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cs="Times New Roman"/>
                <w:color w:val="000000"/>
                <w:sz w:val="24"/>
                <w:szCs w:val="24"/>
                <w:lang w:val="en-US" w:eastAsia="zh-CN"/>
              </w:rPr>
              <w:t>21.51</w:t>
            </w: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cs="Times New Roman"/>
                <w:color w:val="000000"/>
                <w:sz w:val="24"/>
                <w:szCs w:val="24"/>
                <w:lang w:val="en-US" w:eastAsia="zh-CN"/>
              </w:rPr>
              <w:t>24.36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44</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left"/>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硕士研究生及以上学历专任教师占比</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cs="Times New Roman"/>
                <w:color w:val="000000"/>
                <w:sz w:val="24"/>
                <w:szCs w:val="24"/>
                <w:lang w:val="en-US" w:eastAsia="zh-CN"/>
              </w:rPr>
              <w:t>4.3</w:t>
            </w: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cs="Times New Roman"/>
                <w:color w:val="000000"/>
                <w:sz w:val="24"/>
                <w:szCs w:val="24"/>
                <w:lang w:val="en-US" w:eastAsia="zh-CN"/>
              </w:rPr>
              <w:t>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45</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top"/>
          </w:tcPr>
          <w:p>
            <w:pPr>
              <w:widowControl/>
              <w:snapToGrid w:val="0"/>
              <w:spacing w:beforeLines="0" w:afterLines="0"/>
              <w:jc w:val="left"/>
              <w:textAlignment w:val="top"/>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企业提供的实践教学设备总值</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万元</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top"/>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top"/>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46</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top"/>
          </w:tcPr>
          <w:p>
            <w:pPr>
              <w:widowControl/>
              <w:snapToGrid w:val="0"/>
              <w:spacing w:beforeLines="0" w:afterLines="0"/>
              <w:jc w:val="left"/>
              <w:textAlignment w:val="top"/>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合作企业接收学生实习比例</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top"/>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default" w:ascii="仿宋_GB2312" w:hAnsi="Times New Roman" w:cs="Times New Roman"/>
                <w:color w:val="000000"/>
                <w:sz w:val="24"/>
                <w:szCs w:val="24"/>
              </w:rPr>
              <w:t>100</w:t>
            </w: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top"/>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r>
              <w:rPr>
                <w:rFonts w:hint="default" w:ascii="仿宋_GB2312" w:hAnsi="Times New Roman" w:cs="Times New Roman"/>
                <w:color w:val="00000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47</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top"/>
          </w:tcPr>
          <w:p>
            <w:pPr>
              <w:widowControl/>
              <w:snapToGrid w:val="0"/>
              <w:spacing w:beforeLines="0" w:afterLines="0"/>
              <w:jc w:val="left"/>
              <w:textAlignment w:val="top"/>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生均企业实习经费补贴</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top"/>
          </w:tcPr>
          <w:p>
            <w:pPr>
              <w:widowControl/>
              <w:snapToGrid w:val="0"/>
              <w:spacing w:beforeLines="0" w:afterLines="0"/>
              <w:jc w:val="center"/>
              <w:textAlignment w:val="top"/>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元</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top"/>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top"/>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2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napToGrid w:val="0"/>
              <w:spacing w:beforeLines="0" w:afterLines="0"/>
              <w:jc w:val="center"/>
              <w:textAlignment w:val="center"/>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48</w:t>
            </w:r>
          </w:p>
        </w:tc>
        <w:tc>
          <w:tcPr>
            <w:tcW w:w="469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top"/>
          </w:tcPr>
          <w:p>
            <w:pPr>
              <w:widowControl/>
              <w:snapToGrid w:val="0"/>
              <w:spacing w:beforeLines="0" w:afterLines="0"/>
              <w:jc w:val="left"/>
              <w:textAlignment w:val="top"/>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 xml:space="preserve">    其中：生均财政专项补贴</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top"/>
          </w:tcPr>
          <w:p>
            <w:pPr>
              <w:widowControl/>
              <w:snapToGrid w:val="0"/>
              <w:spacing w:beforeLines="0" w:afterLines="0"/>
              <w:jc w:val="center"/>
              <w:textAlignment w:val="top"/>
              <w:rPr>
                <w:rFonts w:hint="eastAsia" w:ascii="仿宋_GB2312" w:hAnsi="Times New Roman" w:cs="Times New Roman"/>
                <w:color w:val="000000"/>
                <w:sz w:val="24"/>
                <w:szCs w:val="24"/>
              </w:rPr>
            </w:pPr>
            <w:r>
              <w:rPr>
                <w:rFonts w:hint="eastAsia" w:ascii="仿宋_GB2312" w:hAnsi="Times New Roman" w:cs="Times New Roman"/>
                <w:color w:val="000000"/>
                <w:kern w:val="0"/>
                <w:sz w:val="24"/>
                <w:szCs w:val="24"/>
                <w:lang w:bidi="ar"/>
              </w:rPr>
              <w:t>元</w:t>
            </w:r>
          </w:p>
        </w:tc>
        <w:tc>
          <w:tcPr>
            <w:tcW w:w="121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top"/>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p>
        </w:tc>
        <w:tc>
          <w:tcPr>
            <w:tcW w:w="128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top"/>
          </w:tcPr>
          <w:p>
            <w:pPr>
              <w:snapToGrid w:val="0"/>
              <w:spacing w:beforeLines="0" w:afterLines="0"/>
              <w:jc w:val="center"/>
              <w:rPr>
                <w:rFonts w:hint="eastAsia" w:ascii="仿宋_GB2312" w:hAnsi="Times New Roman" w:eastAsia="仿宋_GB2312" w:cs="Times New Roman"/>
                <w:color w:val="000000"/>
                <w:kern w:val="2"/>
                <w:sz w:val="24"/>
                <w:szCs w:val="24"/>
                <w:lang w:val="en-US" w:eastAsia="zh-CN" w:bidi="ar-SA"/>
              </w:rPr>
            </w:pPr>
          </w:p>
        </w:tc>
      </w:tr>
    </w:tbl>
    <w:p>
      <w:pPr>
        <w:spacing w:beforeLines="0" w:afterLines="0"/>
        <w:rPr>
          <w:rFonts w:hint="default" w:ascii="Calibri" w:hAnsi="Calibri" w:cs="Times New Roman"/>
          <w:szCs w:val="24"/>
        </w:rPr>
      </w:pPr>
    </w:p>
    <w:p>
      <w:pPr>
        <w:spacing w:line="560" w:lineRule="exact"/>
        <w:ind w:firstLine="640" w:firstLineChars="200"/>
        <w:rPr>
          <w:rFonts w:hint="eastAsia" w:ascii="仿宋_GB2312" w:hAnsi="仿宋_GB2312" w:cs="仿宋_GB2312"/>
          <w:color w:val="auto"/>
          <w:sz w:val="32"/>
          <w:szCs w:val="32"/>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auto"/>
    <w:pitch w:val="default"/>
    <w:sig w:usb0="A00002AF" w:usb1="400078FB" w:usb2="00000000" w:usb3="00000000" w:csb0="6000009F" w:csb1="DFD70000"/>
  </w:font>
  <w:font w:name="Bahnschrift Condensed">
    <w:panose1 w:val="020B0502040204020203"/>
    <w:charset w:val="00"/>
    <w:family w:val="auto"/>
    <w:pitch w:val="default"/>
    <w:sig w:usb0="A00002C7" w:usb1="00000002" w:usb2="00000000" w:usb3="00000000" w:csb0="2000019F"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20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7F8"/>
    <w:rsid w:val="0009675D"/>
    <w:rsid w:val="000F7059"/>
    <w:rsid w:val="00101A08"/>
    <w:rsid w:val="001472D7"/>
    <w:rsid w:val="00157225"/>
    <w:rsid w:val="001D3BD1"/>
    <w:rsid w:val="001D6758"/>
    <w:rsid w:val="001E24E3"/>
    <w:rsid w:val="001E4886"/>
    <w:rsid w:val="00206BC5"/>
    <w:rsid w:val="002C39DD"/>
    <w:rsid w:val="00311BCC"/>
    <w:rsid w:val="00335844"/>
    <w:rsid w:val="003763C9"/>
    <w:rsid w:val="003A766E"/>
    <w:rsid w:val="003B1F51"/>
    <w:rsid w:val="003B39BB"/>
    <w:rsid w:val="00451A2D"/>
    <w:rsid w:val="004C6B74"/>
    <w:rsid w:val="004F043B"/>
    <w:rsid w:val="00520448"/>
    <w:rsid w:val="005663BE"/>
    <w:rsid w:val="00571185"/>
    <w:rsid w:val="00587B76"/>
    <w:rsid w:val="0059623F"/>
    <w:rsid w:val="005B3D51"/>
    <w:rsid w:val="00753899"/>
    <w:rsid w:val="007C2052"/>
    <w:rsid w:val="007F4FB7"/>
    <w:rsid w:val="00816C4A"/>
    <w:rsid w:val="00887E3D"/>
    <w:rsid w:val="008928D9"/>
    <w:rsid w:val="00894F62"/>
    <w:rsid w:val="0092436F"/>
    <w:rsid w:val="009A0EFF"/>
    <w:rsid w:val="009A24B1"/>
    <w:rsid w:val="00A46297"/>
    <w:rsid w:val="00A93B39"/>
    <w:rsid w:val="00AA4A6C"/>
    <w:rsid w:val="00AC01BD"/>
    <w:rsid w:val="00AF08BD"/>
    <w:rsid w:val="00B7456A"/>
    <w:rsid w:val="00C3013F"/>
    <w:rsid w:val="00C958AA"/>
    <w:rsid w:val="00D24FBC"/>
    <w:rsid w:val="00D468FA"/>
    <w:rsid w:val="00DA20FC"/>
    <w:rsid w:val="00DF46D9"/>
    <w:rsid w:val="00E01715"/>
    <w:rsid w:val="00E32CDB"/>
    <w:rsid w:val="00F70DDD"/>
    <w:rsid w:val="00FC1FC9"/>
    <w:rsid w:val="00FD3489"/>
    <w:rsid w:val="00FD778A"/>
    <w:rsid w:val="014F1310"/>
    <w:rsid w:val="01953C99"/>
    <w:rsid w:val="01953D4A"/>
    <w:rsid w:val="01A03928"/>
    <w:rsid w:val="01EB5D9F"/>
    <w:rsid w:val="01ED6920"/>
    <w:rsid w:val="02AD7945"/>
    <w:rsid w:val="02DD1541"/>
    <w:rsid w:val="0352189F"/>
    <w:rsid w:val="03805AF2"/>
    <w:rsid w:val="0386046F"/>
    <w:rsid w:val="03A12085"/>
    <w:rsid w:val="03D77D43"/>
    <w:rsid w:val="042D1FAA"/>
    <w:rsid w:val="046D3A7C"/>
    <w:rsid w:val="04E379BD"/>
    <w:rsid w:val="052E531A"/>
    <w:rsid w:val="0557360B"/>
    <w:rsid w:val="056A6039"/>
    <w:rsid w:val="05D3666F"/>
    <w:rsid w:val="05F7621D"/>
    <w:rsid w:val="060A5475"/>
    <w:rsid w:val="0650457A"/>
    <w:rsid w:val="06684A3B"/>
    <w:rsid w:val="06824B62"/>
    <w:rsid w:val="06AA7B0C"/>
    <w:rsid w:val="06DF3FD2"/>
    <w:rsid w:val="073615DD"/>
    <w:rsid w:val="0756583E"/>
    <w:rsid w:val="07AB409F"/>
    <w:rsid w:val="086F645B"/>
    <w:rsid w:val="08C264C5"/>
    <w:rsid w:val="08EB6A74"/>
    <w:rsid w:val="09276BD0"/>
    <w:rsid w:val="094444AB"/>
    <w:rsid w:val="09844AB9"/>
    <w:rsid w:val="099737DA"/>
    <w:rsid w:val="0A167A2D"/>
    <w:rsid w:val="0A3C2EC7"/>
    <w:rsid w:val="0A4707AB"/>
    <w:rsid w:val="0A5B7B55"/>
    <w:rsid w:val="0A682D31"/>
    <w:rsid w:val="0AB672C5"/>
    <w:rsid w:val="0ABA710E"/>
    <w:rsid w:val="0B566408"/>
    <w:rsid w:val="0BF21C70"/>
    <w:rsid w:val="0BF8252F"/>
    <w:rsid w:val="0C2005DC"/>
    <w:rsid w:val="0CCA57C9"/>
    <w:rsid w:val="0CE625C1"/>
    <w:rsid w:val="0D020527"/>
    <w:rsid w:val="0D1720DF"/>
    <w:rsid w:val="0D2C552B"/>
    <w:rsid w:val="0D5914B8"/>
    <w:rsid w:val="0D6743D2"/>
    <w:rsid w:val="0D746AFA"/>
    <w:rsid w:val="0D8C1D3D"/>
    <w:rsid w:val="0D933634"/>
    <w:rsid w:val="0D9A6E96"/>
    <w:rsid w:val="0DA8479F"/>
    <w:rsid w:val="0E00214D"/>
    <w:rsid w:val="0E1F3390"/>
    <w:rsid w:val="0E227B47"/>
    <w:rsid w:val="0E664592"/>
    <w:rsid w:val="0E784EDF"/>
    <w:rsid w:val="0EA22B8E"/>
    <w:rsid w:val="0F05632D"/>
    <w:rsid w:val="0F366300"/>
    <w:rsid w:val="101D060D"/>
    <w:rsid w:val="1028405E"/>
    <w:rsid w:val="1077606E"/>
    <w:rsid w:val="10D764B1"/>
    <w:rsid w:val="1163315A"/>
    <w:rsid w:val="119A2C28"/>
    <w:rsid w:val="11B225D7"/>
    <w:rsid w:val="11DA38A2"/>
    <w:rsid w:val="1235718D"/>
    <w:rsid w:val="12D63464"/>
    <w:rsid w:val="12D94A92"/>
    <w:rsid w:val="12D9621F"/>
    <w:rsid w:val="12E6731E"/>
    <w:rsid w:val="12F60129"/>
    <w:rsid w:val="131F321C"/>
    <w:rsid w:val="131F3273"/>
    <w:rsid w:val="135D5194"/>
    <w:rsid w:val="13D934AD"/>
    <w:rsid w:val="13E25D7F"/>
    <w:rsid w:val="13EE1CEA"/>
    <w:rsid w:val="14552A1D"/>
    <w:rsid w:val="147F08C2"/>
    <w:rsid w:val="14A72976"/>
    <w:rsid w:val="1501550E"/>
    <w:rsid w:val="155A2B4F"/>
    <w:rsid w:val="157C3DE8"/>
    <w:rsid w:val="1585455F"/>
    <w:rsid w:val="159C0675"/>
    <w:rsid w:val="165B3415"/>
    <w:rsid w:val="166B7781"/>
    <w:rsid w:val="168D78B4"/>
    <w:rsid w:val="16DB0735"/>
    <w:rsid w:val="16E531A2"/>
    <w:rsid w:val="16FC2975"/>
    <w:rsid w:val="16FD72CE"/>
    <w:rsid w:val="171710D4"/>
    <w:rsid w:val="17707162"/>
    <w:rsid w:val="17BA3CE4"/>
    <w:rsid w:val="17F56A9F"/>
    <w:rsid w:val="19021B12"/>
    <w:rsid w:val="1937789B"/>
    <w:rsid w:val="19E012C9"/>
    <w:rsid w:val="1A3913A2"/>
    <w:rsid w:val="1A47666D"/>
    <w:rsid w:val="1A561100"/>
    <w:rsid w:val="1A750CD9"/>
    <w:rsid w:val="1ACC4407"/>
    <w:rsid w:val="1B105286"/>
    <w:rsid w:val="1BCC4A05"/>
    <w:rsid w:val="1C34084F"/>
    <w:rsid w:val="1C5D46F5"/>
    <w:rsid w:val="1C742E5A"/>
    <w:rsid w:val="1CF548E8"/>
    <w:rsid w:val="1D225823"/>
    <w:rsid w:val="1D774D3D"/>
    <w:rsid w:val="1E32551F"/>
    <w:rsid w:val="1E5218AF"/>
    <w:rsid w:val="1E683C0E"/>
    <w:rsid w:val="1F1A4DC0"/>
    <w:rsid w:val="1F364B88"/>
    <w:rsid w:val="1F422EEA"/>
    <w:rsid w:val="1F444EB4"/>
    <w:rsid w:val="1F571A60"/>
    <w:rsid w:val="1F8151D1"/>
    <w:rsid w:val="1F8937A7"/>
    <w:rsid w:val="1F9834EF"/>
    <w:rsid w:val="1F9F6999"/>
    <w:rsid w:val="1FB9395C"/>
    <w:rsid w:val="1FDC7865"/>
    <w:rsid w:val="203157E4"/>
    <w:rsid w:val="205904EB"/>
    <w:rsid w:val="2112013B"/>
    <w:rsid w:val="21266486"/>
    <w:rsid w:val="214359CB"/>
    <w:rsid w:val="216878A9"/>
    <w:rsid w:val="21AE53B7"/>
    <w:rsid w:val="21F8311F"/>
    <w:rsid w:val="22173985"/>
    <w:rsid w:val="22787E9F"/>
    <w:rsid w:val="22D62604"/>
    <w:rsid w:val="22F6464C"/>
    <w:rsid w:val="23025356"/>
    <w:rsid w:val="238560B2"/>
    <w:rsid w:val="239633E8"/>
    <w:rsid w:val="23C933FC"/>
    <w:rsid w:val="23D0572E"/>
    <w:rsid w:val="23FA4E6E"/>
    <w:rsid w:val="241451BA"/>
    <w:rsid w:val="24272ADA"/>
    <w:rsid w:val="24287DA7"/>
    <w:rsid w:val="24A84EB0"/>
    <w:rsid w:val="24C657A8"/>
    <w:rsid w:val="24E8008F"/>
    <w:rsid w:val="252E7715"/>
    <w:rsid w:val="25A57E98"/>
    <w:rsid w:val="25F45D20"/>
    <w:rsid w:val="261C357F"/>
    <w:rsid w:val="262067BC"/>
    <w:rsid w:val="264D4170"/>
    <w:rsid w:val="268A2C7C"/>
    <w:rsid w:val="26D41552"/>
    <w:rsid w:val="273E043A"/>
    <w:rsid w:val="2751627C"/>
    <w:rsid w:val="27E61340"/>
    <w:rsid w:val="280F3B48"/>
    <w:rsid w:val="281813A8"/>
    <w:rsid w:val="284F022B"/>
    <w:rsid w:val="28A839C3"/>
    <w:rsid w:val="299C7E4E"/>
    <w:rsid w:val="29C568D9"/>
    <w:rsid w:val="2A02222A"/>
    <w:rsid w:val="2A032D83"/>
    <w:rsid w:val="2B177920"/>
    <w:rsid w:val="2B207084"/>
    <w:rsid w:val="2B4A4C25"/>
    <w:rsid w:val="2B9D094F"/>
    <w:rsid w:val="2BF17627"/>
    <w:rsid w:val="2C594093"/>
    <w:rsid w:val="2C717FBF"/>
    <w:rsid w:val="2C830A6F"/>
    <w:rsid w:val="2C9E20DF"/>
    <w:rsid w:val="2CA52B79"/>
    <w:rsid w:val="2CF95E60"/>
    <w:rsid w:val="2CFE67F3"/>
    <w:rsid w:val="2D0123F7"/>
    <w:rsid w:val="2D5552CC"/>
    <w:rsid w:val="2DA2146C"/>
    <w:rsid w:val="2DA23D5C"/>
    <w:rsid w:val="2DDB2625"/>
    <w:rsid w:val="2E26447B"/>
    <w:rsid w:val="2E522BCA"/>
    <w:rsid w:val="2E7300D2"/>
    <w:rsid w:val="2E8768E9"/>
    <w:rsid w:val="2E9B63C8"/>
    <w:rsid w:val="2EA930A1"/>
    <w:rsid w:val="2EF44912"/>
    <w:rsid w:val="2EFA2B09"/>
    <w:rsid w:val="2FBF4006"/>
    <w:rsid w:val="30435811"/>
    <w:rsid w:val="30B312FD"/>
    <w:rsid w:val="311D37B8"/>
    <w:rsid w:val="312F0180"/>
    <w:rsid w:val="314003B1"/>
    <w:rsid w:val="31446F14"/>
    <w:rsid w:val="31A11E03"/>
    <w:rsid w:val="31B6553E"/>
    <w:rsid w:val="31DA3593"/>
    <w:rsid w:val="320C5D66"/>
    <w:rsid w:val="33096FFC"/>
    <w:rsid w:val="33376A7A"/>
    <w:rsid w:val="336B7284"/>
    <w:rsid w:val="33A351BE"/>
    <w:rsid w:val="33BD42BB"/>
    <w:rsid w:val="33DD384A"/>
    <w:rsid w:val="33FA54C4"/>
    <w:rsid w:val="340443FE"/>
    <w:rsid w:val="34166D17"/>
    <w:rsid w:val="34376A78"/>
    <w:rsid w:val="34B83FAC"/>
    <w:rsid w:val="34C93CD1"/>
    <w:rsid w:val="34EC70B6"/>
    <w:rsid w:val="34FB4018"/>
    <w:rsid w:val="35037522"/>
    <w:rsid w:val="360F1E10"/>
    <w:rsid w:val="364C07F5"/>
    <w:rsid w:val="364E4BEB"/>
    <w:rsid w:val="36DA1B07"/>
    <w:rsid w:val="371329CC"/>
    <w:rsid w:val="373F5BD9"/>
    <w:rsid w:val="375B1A27"/>
    <w:rsid w:val="3773082F"/>
    <w:rsid w:val="37BA3AD0"/>
    <w:rsid w:val="37F25055"/>
    <w:rsid w:val="381C4033"/>
    <w:rsid w:val="395609DB"/>
    <w:rsid w:val="39AA1C22"/>
    <w:rsid w:val="39B11336"/>
    <w:rsid w:val="39B2575B"/>
    <w:rsid w:val="39E16CB2"/>
    <w:rsid w:val="39F44B9C"/>
    <w:rsid w:val="39FB1BF5"/>
    <w:rsid w:val="3A4F49E1"/>
    <w:rsid w:val="3A8C0C99"/>
    <w:rsid w:val="3A9209EE"/>
    <w:rsid w:val="3A940FF4"/>
    <w:rsid w:val="3A95750E"/>
    <w:rsid w:val="3AC149E3"/>
    <w:rsid w:val="3AF839F0"/>
    <w:rsid w:val="3B2D45F6"/>
    <w:rsid w:val="3B52394A"/>
    <w:rsid w:val="3B584647"/>
    <w:rsid w:val="3B79198E"/>
    <w:rsid w:val="3BC44F5A"/>
    <w:rsid w:val="3C121502"/>
    <w:rsid w:val="3C250443"/>
    <w:rsid w:val="3CEA2E7D"/>
    <w:rsid w:val="3D8A5D30"/>
    <w:rsid w:val="3D8F00A8"/>
    <w:rsid w:val="3DB82EC7"/>
    <w:rsid w:val="3DC620B6"/>
    <w:rsid w:val="3DF1011C"/>
    <w:rsid w:val="3E4270F2"/>
    <w:rsid w:val="3E4F1D5C"/>
    <w:rsid w:val="3EA74323"/>
    <w:rsid w:val="3EBB0CF4"/>
    <w:rsid w:val="3ED60A4E"/>
    <w:rsid w:val="3F3A652C"/>
    <w:rsid w:val="3FA20697"/>
    <w:rsid w:val="3FE22959"/>
    <w:rsid w:val="401E7C03"/>
    <w:rsid w:val="4097351A"/>
    <w:rsid w:val="409F1576"/>
    <w:rsid w:val="40BD2773"/>
    <w:rsid w:val="40D44CB9"/>
    <w:rsid w:val="41063933"/>
    <w:rsid w:val="41533D73"/>
    <w:rsid w:val="41815E93"/>
    <w:rsid w:val="41E646F1"/>
    <w:rsid w:val="427E1EB7"/>
    <w:rsid w:val="42877ACD"/>
    <w:rsid w:val="42A06DA0"/>
    <w:rsid w:val="42DF67FD"/>
    <w:rsid w:val="438F3AB5"/>
    <w:rsid w:val="43BF49B2"/>
    <w:rsid w:val="4475773A"/>
    <w:rsid w:val="448015C1"/>
    <w:rsid w:val="454377F0"/>
    <w:rsid w:val="46063CE6"/>
    <w:rsid w:val="460A4AB4"/>
    <w:rsid w:val="46275EA9"/>
    <w:rsid w:val="46A84255"/>
    <w:rsid w:val="46F37894"/>
    <w:rsid w:val="47217012"/>
    <w:rsid w:val="47244674"/>
    <w:rsid w:val="47294F52"/>
    <w:rsid w:val="47521BC7"/>
    <w:rsid w:val="4780427E"/>
    <w:rsid w:val="479A5218"/>
    <w:rsid w:val="47E405EC"/>
    <w:rsid w:val="480E0BAE"/>
    <w:rsid w:val="483D0417"/>
    <w:rsid w:val="48922DC8"/>
    <w:rsid w:val="489E7D07"/>
    <w:rsid w:val="48FE1F95"/>
    <w:rsid w:val="492C44A4"/>
    <w:rsid w:val="493015C1"/>
    <w:rsid w:val="495A7F73"/>
    <w:rsid w:val="4976236B"/>
    <w:rsid w:val="497B29F4"/>
    <w:rsid w:val="49924904"/>
    <w:rsid w:val="4A277B93"/>
    <w:rsid w:val="4A2C784A"/>
    <w:rsid w:val="4A8D112C"/>
    <w:rsid w:val="4A9A54C4"/>
    <w:rsid w:val="4BBC14D5"/>
    <w:rsid w:val="4BFC588F"/>
    <w:rsid w:val="4C3A61D8"/>
    <w:rsid w:val="4C4E0D1C"/>
    <w:rsid w:val="4C5D3975"/>
    <w:rsid w:val="4D586C84"/>
    <w:rsid w:val="4DA8774C"/>
    <w:rsid w:val="4E2632F7"/>
    <w:rsid w:val="4E2F501D"/>
    <w:rsid w:val="4E306245"/>
    <w:rsid w:val="4E4272DC"/>
    <w:rsid w:val="4F016438"/>
    <w:rsid w:val="4F3C14E1"/>
    <w:rsid w:val="504924B5"/>
    <w:rsid w:val="50A50018"/>
    <w:rsid w:val="50AD23CB"/>
    <w:rsid w:val="50B82F22"/>
    <w:rsid w:val="50F66AE5"/>
    <w:rsid w:val="50F80588"/>
    <w:rsid w:val="51117A70"/>
    <w:rsid w:val="511759BD"/>
    <w:rsid w:val="51FC5C82"/>
    <w:rsid w:val="527611AC"/>
    <w:rsid w:val="52790C2A"/>
    <w:rsid w:val="52A44B8D"/>
    <w:rsid w:val="530421D8"/>
    <w:rsid w:val="532B30C0"/>
    <w:rsid w:val="53F475B8"/>
    <w:rsid w:val="53FD6E04"/>
    <w:rsid w:val="546F0A84"/>
    <w:rsid w:val="5482029D"/>
    <w:rsid w:val="55804BFA"/>
    <w:rsid w:val="558B5435"/>
    <w:rsid w:val="55AE6D7E"/>
    <w:rsid w:val="560159C1"/>
    <w:rsid w:val="562F383C"/>
    <w:rsid w:val="56444471"/>
    <w:rsid w:val="565807AE"/>
    <w:rsid w:val="565F2307"/>
    <w:rsid w:val="567573D7"/>
    <w:rsid w:val="568B1653"/>
    <w:rsid w:val="568B4C58"/>
    <w:rsid w:val="56B3594B"/>
    <w:rsid w:val="56CD1895"/>
    <w:rsid w:val="57322844"/>
    <w:rsid w:val="5795562D"/>
    <w:rsid w:val="57E25710"/>
    <w:rsid w:val="583704C4"/>
    <w:rsid w:val="585A095C"/>
    <w:rsid w:val="58693F25"/>
    <w:rsid w:val="587706A6"/>
    <w:rsid w:val="588933C5"/>
    <w:rsid w:val="589A3B68"/>
    <w:rsid w:val="58CE3177"/>
    <w:rsid w:val="591D58FB"/>
    <w:rsid w:val="59731A05"/>
    <w:rsid w:val="59910253"/>
    <w:rsid w:val="59D81B6D"/>
    <w:rsid w:val="5A3E3323"/>
    <w:rsid w:val="5A6229AC"/>
    <w:rsid w:val="5AE42462"/>
    <w:rsid w:val="5B223B45"/>
    <w:rsid w:val="5B2E2958"/>
    <w:rsid w:val="5B3F1391"/>
    <w:rsid w:val="5B473A75"/>
    <w:rsid w:val="5B5565D8"/>
    <w:rsid w:val="5C4226E3"/>
    <w:rsid w:val="5C576DEF"/>
    <w:rsid w:val="5C7C5B14"/>
    <w:rsid w:val="5C910555"/>
    <w:rsid w:val="5D3668DE"/>
    <w:rsid w:val="5D8F3F1E"/>
    <w:rsid w:val="5D993EC1"/>
    <w:rsid w:val="5DCA44F3"/>
    <w:rsid w:val="5DE3706A"/>
    <w:rsid w:val="5E0D7524"/>
    <w:rsid w:val="5E3653EC"/>
    <w:rsid w:val="5E7C743D"/>
    <w:rsid w:val="5E965228"/>
    <w:rsid w:val="5EC7639E"/>
    <w:rsid w:val="5F9417D3"/>
    <w:rsid w:val="5F9434C3"/>
    <w:rsid w:val="5FEB7874"/>
    <w:rsid w:val="5FF3418D"/>
    <w:rsid w:val="5FF95568"/>
    <w:rsid w:val="607B6DBC"/>
    <w:rsid w:val="60854409"/>
    <w:rsid w:val="60AA1983"/>
    <w:rsid w:val="60D201BB"/>
    <w:rsid w:val="610F249F"/>
    <w:rsid w:val="612F1295"/>
    <w:rsid w:val="61786051"/>
    <w:rsid w:val="627E0D82"/>
    <w:rsid w:val="62AF5C51"/>
    <w:rsid w:val="62D80D46"/>
    <w:rsid w:val="62EC2ACA"/>
    <w:rsid w:val="6322350B"/>
    <w:rsid w:val="637F15E3"/>
    <w:rsid w:val="638F350A"/>
    <w:rsid w:val="63A6641E"/>
    <w:rsid w:val="641E1462"/>
    <w:rsid w:val="646709F5"/>
    <w:rsid w:val="64984A39"/>
    <w:rsid w:val="649D579C"/>
    <w:rsid w:val="64C4116A"/>
    <w:rsid w:val="64CA015A"/>
    <w:rsid w:val="64CD06B2"/>
    <w:rsid w:val="65357E18"/>
    <w:rsid w:val="65822144"/>
    <w:rsid w:val="659351D0"/>
    <w:rsid w:val="65AD56BD"/>
    <w:rsid w:val="65D4110B"/>
    <w:rsid w:val="664503C8"/>
    <w:rsid w:val="665C7155"/>
    <w:rsid w:val="666A3DAF"/>
    <w:rsid w:val="669B593F"/>
    <w:rsid w:val="66AA21F8"/>
    <w:rsid w:val="66C25EEC"/>
    <w:rsid w:val="66FA15ED"/>
    <w:rsid w:val="670D57C1"/>
    <w:rsid w:val="688A5D6C"/>
    <w:rsid w:val="689258D8"/>
    <w:rsid w:val="68A53B10"/>
    <w:rsid w:val="68C85419"/>
    <w:rsid w:val="69313B3F"/>
    <w:rsid w:val="694A354D"/>
    <w:rsid w:val="696C002A"/>
    <w:rsid w:val="698D4DF9"/>
    <w:rsid w:val="69A77C03"/>
    <w:rsid w:val="69BF4229"/>
    <w:rsid w:val="6A8C220F"/>
    <w:rsid w:val="6A944EBA"/>
    <w:rsid w:val="6AB530C3"/>
    <w:rsid w:val="6AD845A1"/>
    <w:rsid w:val="6B581DB7"/>
    <w:rsid w:val="6B7A3D0C"/>
    <w:rsid w:val="6BC51188"/>
    <w:rsid w:val="6C107CF8"/>
    <w:rsid w:val="6C56248E"/>
    <w:rsid w:val="6C8B59B0"/>
    <w:rsid w:val="6D392D90"/>
    <w:rsid w:val="6DE267D4"/>
    <w:rsid w:val="6DF619FA"/>
    <w:rsid w:val="6E320F6E"/>
    <w:rsid w:val="6E3502E1"/>
    <w:rsid w:val="6E4F46BF"/>
    <w:rsid w:val="6EAB46E8"/>
    <w:rsid w:val="6F137B8A"/>
    <w:rsid w:val="6F871F4B"/>
    <w:rsid w:val="6FB56E90"/>
    <w:rsid w:val="6FEC57F5"/>
    <w:rsid w:val="701E59A7"/>
    <w:rsid w:val="70375FA2"/>
    <w:rsid w:val="706402E1"/>
    <w:rsid w:val="709C267C"/>
    <w:rsid w:val="70F92D46"/>
    <w:rsid w:val="7111771F"/>
    <w:rsid w:val="712545D7"/>
    <w:rsid w:val="713B1304"/>
    <w:rsid w:val="71944E10"/>
    <w:rsid w:val="72047CC9"/>
    <w:rsid w:val="724345F9"/>
    <w:rsid w:val="72CA0731"/>
    <w:rsid w:val="72F715C5"/>
    <w:rsid w:val="735520AE"/>
    <w:rsid w:val="73CE3AF3"/>
    <w:rsid w:val="73F260EA"/>
    <w:rsid w:val="744217FF"/>
    <w:rsid w:val="74974FEB"/>
    <w:rsid w:val="74A90A20"/>
    <w:rsid w:val="74DE344D"/>
    <w:rsid w:val="754D32C8"/>
    <w:rsid w:val="754F1C26"/>
    <w:rsid w:val="758142C0"/>
    <w:rsid w:val="758F657D"/>
    <w:rsid w:val="75E260B4"/>
    <w:rsid w:val="75EF6247"/>
    <w:rsid w:val="760775E9"/>
    <w:rsid w:val="763F7477"/>
    <w:rsid w:val="77500FAC"/>
    <w:rsid w:val="77892EEF"/>
    <w:rsid w:val="77AB0BF8"/>
    <w:rsid w:val="77AD69F7"/>
    <w:rsid w:val="77BF6FB2"/>
    <w:rsid w:val="78122794"/>
    <w:rsid w:val="7816163C"/>
    <w:rsid w:val="78180D95"/>
    <w:rsid w:val="784E2738"/>
    <w:rsid w:val="78544EB3"/>
    <w:rsid w:val="786F0760"/>
    <w:rsid w:val="795B25D7"/>
    <w:rsid w:val="79A17CFE"/>
    <w:rsid w:val="79DA4588"/>
    <w:rsid w:val="7ADF5DF8"/>
    <w:rsid w:val="7AF8732A"/>
    <w:rsid w:val="7B133B85"/>
    <w:rsid w:val="7B3D3D0F"/>
    <w:rsid w:val="7B696208"/>
    <w:rsid w:val="7BC5310D"/>
    <w:rsid w:val="7BC647DF"/>
    <w:rsid w:val="7BD96FCA"/>
    <w:rsid w:val="7C0D7A1C"/>
    <w:rsid w:val="7C13253B"/>
    <w:rsid w:val="7C255C9F"/>
    <w:rsid w:val="7C6E3CBD"/>
    <w:rsid w:val="7C8F0E88"/>
    <w:rsid w:val="7CAC4D25"/>
    <w:rsid w:val="7CAD56F1"/>
    <w:rsid w:val="7D0704A6"/>
    <w:rsid w:val="7D266041"/>
    <w:rsid w:val="7D2F7C65"/>
    <w:rsid w:val="7D3F5AF8"/>
    <w:rsid w:val="7D712B80"/>
    <w:rsid w:val="7D8C48EF"/>
    <w:rsid w:val="7DB53EB0"/>
    <w:rsid w:val="7DBA231C"/>
    <w:rsid w:val="7E7E035E"/>
    <w:rsid w:val="7EAD5182"/>
    <w:rsid w:val="7EB37EBF"/>
    <w:rsid w:val="7EB50460"/>
    <w:rsid w:val="7EC54FD7"/>
    <w:rsid w:val="7ED152B8"/>
    <w:rsid w:val="7EE05281"/>
    <w:rsid w:val="7F6B666F"/>
    <w:rsid w:val="7FDA5C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left="600" w:leftChars="200"/>
      <w:outlineLvl w:val="0"/>
    </w:pPr>
    <w:rPr>
      <w:rFonts w:ascii="Times New Roman" w:hAnsi="Times New Roman" w:eastAsia="黑体"/>
      <w:kern w:val="44"/>
      <w:sz w:val="32"/>
    </w:rPr>
  </w:style>
  <w:style w:type="paragraph" w:styleId="3">
    <w:name w:val="heading 2"/>
    <w:basedOn w:val="1"/>
    <w:next w:val="1"/>
    <w:qFormat/>
    <w:uiPriority w:val="0"/>
    <w:pPr>
      <w:keepNext/>
      <w:keepLines/>
      <w:spacing w:beforeLines="0" w:beforeAutospacing="0" w:afterLines="0" w:afterAutospacing="0" w:line="560" w:lineRule="exact"/>
      <w:ind w:left="600" w:leftChars="200"/>
      <w:outlineLvl w:val="1"/>
    </w:pPr>
    <w:rPr>
      <w:rFonts w:ascii="Arial" w:hAnsi="Arial" w:eastAsia="楷体"/>
      <w:sz w:val="32"/>
    </w:rPr>
  </w:style>
  <w:style w:type="paragraph" w:styleId="4">
    <w:name w:val="heading 3"/>
    <w:basedOn w:val="1"/>
    <w:next w:val="1"/>
    <w:qFormat/>
    <w:uiPriority w:val="0"/>
    <w:pPr>
      <w:widowControl/>
      <w:snapToGrid w:val="0"/>
      <w:spacing w:beforeAutospacing="1" w:afterAutospacing="1" w:line="560" w:lineRule="exact"/>
      <w:ind w:left="600" w:leftChars="200" w:firstLine="0" w:firstLineChars="0"/>
      <w:jc w:val="both"/>
      <w:outlineLvl w:val="2"/>
    </w:pPr>
    <w:rPr>
      <w:rFonts w:ascii="宋体" w:hAnsi="宋体" w:cs="宋体"/>
      <w:bCs/>
      <w:kern w:val="0"/>
      <w:sz w:val="32"/>
      <w:szCs w:val="27"/>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39"/>
  </w:style>
  <w:style w:type="paragraph" w:styleId="9">
    <w:name w:val="toc 2"/>
    <w:basedOn w:val="1"/>
    <w:next w:val="1"/>
    <w:qFormat/>
    <w:uiPriority w:val="39"/>
    <w:pPr>
      <w:ind w:left="420" w:leftChars="200"/>
    </w:pPr>
  </w:style>
  <w:style w:type="paragraph" w:styleId="10">
    <w:name w:val="Normal (Web)"/>
    <w:basedOn w:val="1"/>
    <w:qFormat/>
    <w:uiPriority w:val="0"/>
    <w:pPr>
      <w:spacing w:before="100" w:beforeAutospacing="1" w:after="100" w:afterAutospacing="1" w:line="240" w:lineRule="auto"/>
      <w:jc w:val="left"/>
    </w:pPr>
    <w:rPr>
      <w:rFonts w:ascii="Calibri" w:hAnsi="Calibri" w:eastAsia="宋体" w:cs="Times New Roman"/>
      <w:kern w:val="0"/>
      <w:sz w:val="24"/>
      <w:szCs w:val="24"/>
    </w:rPr>
  </w:style>
  <w:style w:type="table" w:styleId="12">
    <w:name w:val="Table Grid"/>
    <w:basedOn w:val="11"/>
    <w:qFormat/>
    <w:uiPriority w:val="0"/>
    <w:pPr>
      <w:widowControl w:val="0"/>
      <w:spacing w:line="240" w:lineRule="auto"/>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FollowedHyperlink"/>
    <w:basedOn w:val="13"/>
    <w:qFormat/>
    <w:uiPriority w:val="0"/>
    <w:rPr>
      <w:color w:val="000000"/>
      <w:sz w:val="14"/>
      <w:szCs w:val="14"/>
      <w:u w:val="none"/>
    </w:rPr>
  </w:style>
  <w:style w:type="character" w:styleId="16">
    <w:name w:val="HTML Definition"/>
    <w:basedOn w:val="13"/>
    <w:qFormat/>
    <w:uiPriority w:val="0"/>
    <w:rPr>
      <w:i/>
      <w:color w:val="555555"/>
      <w:sz w:val="16"/>
      <w:szCs w:val="16"/>
      <w:bdr w:val="single" w:color="CCCCCC" w:sz="4" w:space="0"/>
      <w:shd w:val="clear" w:color="auto" w:fill="FFFFFF"/>
    </w:rPr>
  </w:style>
  <w:style w:type="character" w:styleId="17">
    <w:name w:val="HTML Typewriter"/>
    <w:basedOn w:val="13"/>
    <w:qFormat/>
    <w:uiPriority w:val="0"/>
    <w:rPr>
      <w:b/>
      <w:color w:val="333333"/>
      <w:sz w:val="16"/>
      <w:szCs w:val="16"/>
    </w:rPr>
  </w:style>
  <w:style w:type="character" w:styleId="18">
    <w:name w:val="Hyperlink"/>
    <w:basedOn w:val="13"/>
    <w:unhideWhenUsed/>
    <w:qFormat/>
    <w:uiPriority w:val="99"/>
    <w:rPr>
      <w:color w:val="000000"/>
      <w:sz w:val="14"/>
      <w:szCs w:val="14"/>
      <w:u w:val="none"/>
    </w:rPr>
  </w:style>
  <w:style w:type="character" w:styleId="19">
    <w:name w:val="HTML Code"/>
    <w:basedOn w:val="13"/>
    <w:qFormat/>
    <w:uiPriority w:val="0"/>
    <w:rPr>
      <w:rFonts w:hint="default" w:ascii="Consolas" w:hAnsi="Consolas" w:eastAsia="Consolas" w:cs="Consolas"/>
      <w:color w:val="C7254E"/>
      <w:sz w:val="21"/>
      <w:szCs w:val="21"/>
      <w:shd w:val="clear" w:color="auto" w:fill="F9F2F4"/>
    </w:rPr>
  </w:style>
  <w:style w:type="character" w:styleId="20">
    <w:name w:val="HTML Keyboard"/>
    <w:basedOn w:val="13"/>
    <w:qFormat/>
    <w:uiPriority w:val="0"/>
    <w:rPr>
      <w:rFonts w:hint="default" w:ascii="Consolas" w:hAnsi="Consolas" w:eastAsia="Consolas" w:cs="Consolas"/>
      <w:color w:val="FFFFFF"/>
      <w:sz w:val="21"/>
      <w:szCs w:val="21"/>
      <w:shd w:val="clear" w:color="auto" w:fill="333333"/>
    </w:rPr>
  </w:style>
  <w:style w:type="character" w:styleId="21">
    <w:name w:val="HTML Sample"/>
    <w:basedOn w:val="13"/>
    <w:qFormat/>
    <w:uiPriority w:val="0"/>
    <w:rPr>
      <w:rFonts w:ascii="Consolas" w:hAnsi="Consolas" w:eastAsia="Consolas" w:cs="Consolas"/>
      <w:sz w:val="21"/>
      <w:szCs w:val="21"/>
    </w:rPr>
  </w:style>
  <w:style w:type="paragraph" w:customStyle="1" w:styleId="22">
    <w:name w:val="List Paragraph"/>
    <w:basedOn w:val="1"/>
    <w:qFormat/>
    <w:uiPriority w:val="0"/>
    <w:pPr>
      <w:widowControl/>
      <w:adjustRightInd w:val="0"/>
      <w:snapToGrid w:val="0"/>
      <w:spacing w:before="100" w:beforeAutospacing="1" w:after="200"/>
      <w:ind w:firstLine="420" w:firstLineChars="200"/>
      <w:jc w:val="left"/>
    </w:pPr>
    <w:rPr>
      <w:rFonts w:ascii="Tahoma" w:hAnsi="Tahoma" w:eastAsia="微软雅黑"/>
      <w:kern w:val="0"/>
      <w:sz w:val="22"/>
      <w:szCs w:val="22"/>
    </w:rPr>
  </w:style>
  <w:style w:type="character" w:customStyle="1" w:styleId="23">
    <w:name w:val="p_current"/>
    <w:basedOn w:val="13"/>
    <w:qFormat/>
    <w:uiPriority w:val="0"/>
    <w:rPr>
      <w:b/>
      <w:color w:val="666666"/>
      <w:bdr w:val="single" w:color="999999" w:sz="4" w:space="0"/>
      <w:shd w:val="clear" w:color="auto" w:fill="F5F5DC"/>
    </w:rPr>
  </w:style>
  <w:style w:type="character" w:customStyle="1" w:styleId="24">
    <w:name w:val="p_total"/>
    <w:basedOn w:val="13"/>
    <w:qFormat/>
    <w:uiPriority w:val="0"/>
    <w:rPr>
      <w:b/>
      <w:color w:val="666666"/>
      <w:bdr w:val="single" w:color="999999" w:sz="4" w:space="0"/>
      <w:shd w:val="clear" w:color="auto" w:fill="FFFFFF"/>
    </w:rPr>
  </w:style>
  <w:style w:type="paragraph" w:customStyle="1" w:styleId="25">
    <w:name w:val="Default"/>
    <w:unhideWhenUsed/>
    <w:qFormat/>
    <w:uiPriority w:val="99"/>
    <w:pPr>
      <w:widowControl w:val="0"/>
      <w:autoSpaceDE w:val="0"/>
      <w:autoSpaceDN w:val="0"/>
      <w:adjustRightInd w:val="0"/>
      <w:spacing w:beforeLines="0" w:afterLines="0"/>
    </w:pPr>
    <w:rPr>
      <w:rFonts w:hint="default" w:ascii="仿宋_GB2312" w:hAnsi="仿宋_GB2312" w:eastAsia="仿宋_GB2312" w:cstheme="minorBidi"/>
      <w:color w:val="000000"/>
      <w:sz w:val="24"/>
    </w:rPr>
  </w:style>
  <w:style w:type="paragraph" w:customStyle="1" w:styleId="26">
    <w:name w:val="样式3"/>
    <w:basedOn w:val="1"/>
    <w:next w:val="1"/>
    <w:qFormat/>
    <w:uiPriority w:val="0"/>
    <w:pPr>
      <w:spacing w:line="560" w:lineRule="exact"/>
      <w:ind w:firstLine="720" w:firstLineChars="200"/>
    </w:pPr>
    <w:rPr>
      <w:rFonts w:ascii="Times New Roman" w:hAnsi="Times New Roman"/>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2195</Words>
  <Characters>12517</Characters>
  <Lines>104</Lines>
  <Paragraphs>29</Paragraphs>
  <TotalTime>4</TotalTime>
  <ScaleCrop>false</ScaleCrop>
  <LinksUpToDate>false</LinksUpToDate>
  <CharactersWithSpaces>14683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2019-01-28T02:21:00Z</dcterms:created>
  <dc:creator>Administrator</dc:creator>
  <cp:lastModifiedBy>胡院军</cp:lastModifiedBy>
  <dcterms:modified xsi:type="dcterms:W3CDTF">2021-11-30T14:18:14Z</dcterms:modified>
  <dc:title>辉县市第一职业中等专业学校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KSORubyTemplateID">
    <vt:lpwstr>6</vt:lpwstr>
  </property>
  <property fmtid="{D5CDD505-2E9C-101B-9397-08002B2CF9AE}" pid="4" name="ICV">
    <vt:lpwstr>CE32CB2D9D484A3580F51AC019ABF72F</vt:lpwstr>
  </property>
</Properties>
</file>